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tabs>
          <w:tab w:val="left" w:pos="5440"/>
        </w:tabs>
        <w:spacing w:line="240" w:lineRule="auto"/>
        <w:ind w:left="435" w:right="0" w:firstLine="0"/>
        <w:rPr>
          <w:rFonts w:ascii="Times New Roman"/>
          <w:position w:val="1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42487" cy="640079"/>
            <wp:effectExtent l="0" t="0" r="0" b="0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87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8"/>
        </w:rPr>
        <w:tab/>
      </w:r>
      <w:r>
        <w:rPr>
          <w:rFonts w:ascii="Times New Roman"/>
          <w:position w:val="1"/>
          <w:sz w:val="20"/>
        </w:rPr>
        <mc:AlternateContent>
          <mc:Choice Requires="wps">
            <w:drawing>
              <wp:inline distT="0" distB="0" distL="0" distR="0">
                <wp:extent cx="3590925" cy="685800"/>
                <wp:effectExtent l="9525" t="0" r="0" b="9525"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590925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2" w:line="341" w:lineRule="exact"/>
                              <w:ind w:left="145" w:right="0" w:firstLine="0"/>
                              <w:jc w:val="left"/>
                              <w:rPr>
                                <w:rFonts w:ascii="Calibr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6"/>
                              </w:rPr>
                              <w:t xml:space="preserve">BEZPEČNOSTNÍ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6"/>
                              </w:rPr>
                              <w:t xml:space="preserve">LIST </w:t>
                            </w:r>
                            <w:r>
                              <w:rPr>
                                <w:rFonts w:ascii="Calibri"/>
                                <w:b/>
                                <w:sz w:val="26"/>
                              </w:rPr>
                              <w:t>MATERIÁLU</w:t>
                            </w:r>
                          </w:p>
                          <w:p>
                            <w:pPr>
                              <w:spacing w:before="0"/>
                              <w:ind w:left="1504" w:right="0" w:hanging="164"/>
                              <w:jc w:val="left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2"/>
                              </w:rPr>
                              <w:t xml:space="preserve">ČISTIČ </w:t>
                            </w:r>
                            <w:r>
                              <w:rPr>
                                <w:rFonts w:ascii="Calibri"/>
                                <w:b/>
                                <w:sz w:val="22"/>
                              </w:rPr>
                              <w:t xml:space="preserve">KOUPELEN </w:t>
                            </w:r>
                            <w:r>
                              <w:rPr>
                                <w:rFonts w:ascii="Calibri"/>
                                <w:b/>
                                <w:sz w:val="22"/>
                              </w:rPr>
                              <w:t xml:space="preserve">VE SPREJI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2"/>
                              </w:rPr>
                              <w:t>DATA:03.12.2024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i1025" type="#_x0000_t202" style="width:282.75pt;height:54pt;mso-position-horizontal-relative:char;mso-position-vertical-relative:line" filled="f" stroked="t" strokecolor="black" strokeweight="0.5pt">
                <v:stroke dashstyle="solid"/>
                <v:textbox inset="0,0,0,0">
                  <w:txbxContent>
                    <w:p>
                      <w:pPr>
                        <w:spacing w:before="72" w:line="341" w:lineRule="exact"/>
                        <w:ind w:left="145" w:right="0" w:firstLine="0"/>
                        <w:jc w:val="left"/>
                        <w:rPr>
                          <w:rFonts w:ascii="Calibri"/>
                          <w:b/>
                          <w:sz w:val="28"/>
                        </w:rPr>
                      </w:pPr>
                      <w:r>
                        <w:rPr>
                          <w:rFonts w:ascii="Calibri"/>
                          <w:b/>
                          <w:sz w:val="28"/>
                        </w:rPr>
                        <w:t xml:space="preserve">BEZPEČNOSTNÍ 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LIST </w:t>
                      </w:r>
                      <w:r>
                        <w:rPr>
                          <w:rFonts w:ascii="Calibri"/>
                          <w:b/>
                          <w:sz w:val="28"/>
                        </w:rPr>
                        <w:t>MATERIÁLU</w:t>
                      </w:r>
                    </w:p>
                    <w:p>
                      <w:pPr>
                        <w:spacing w:before="0"/>
                        <w:ind w:left="1504" w:right="0" w:hanging="164"/>
                        <w:jc w:val="left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 xml:space="preserve">ČISTIČ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 xml:space="preserve">KOUPELEN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 xml:space="preserve">VE SPREJI </w:t>
                      </w:r>
                      <w:r>
                        <w:rPr>
                          <w:rFonts w:ascii="Calibri"/>
                          <w:b/>
                          <w:spacing w:val="-2"/>
                          <w:sz w:val="24"/>
                        </w:rPr>
                        <w:t>DATA:03.12.2024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spacing w:before="19"/>
        <w:ind w:left="1315" w:right="0" w:firstLine="0"/>
        <w:jc w:val="left"/>
        <w:rPr>
          <w:rFonts w:ascii="Calibri"/>
          <w:sz w:val="17"/>
        </w:rPr>
      </w:pPr>
      <w:r>
        <w:rPr>
          <w:rFonts w:ascii="Calibri"/>
          <w:sz w:val="16"/>
        </w:rPr>
        <w:t xml:space="preserve">Podle </w:t>
      </w:r>
      <w:r>
        <w:rPr>
          <w:rFonts w:ascii="Calibri"/>
          <w:sz w:val="16"/>
        </w:rPr>
        <w:t xml:space="preserve">nařízení </w:t>
      </w:r>
      <w:r>
        <w:rPr>
          <w:rFonts w:ascii="Calibri"/>
          <w:sz w:val="16"/>
        </w:rPr>
        <w:t xml:space="preserve">(ES) </w:t>
      </w:r>
      <w:r>
        <w:rPr>
          <w:rFonts w:ascii="Calibri"/>
          <w:sz w:val="16"/>
        </w:rPr>
        <w:t xml:space="preserve">č. </w:t>
      </w:r>
      <w:r>
        <w:rPr>
          <w:rFonts w:ascii="Calibri"/>
          <w:sz w:val="16"/>
        </w:rPr>
        <w:t>1907/2006</w:t>
      </w:r>
      <w:r>
        <w:rPr>
          <w:rFonts w:ascii="Calibri"/>
          <w:sz w:val="16"/>
        </w:rPr>
        <w:t xml:space="preserve">, příloha </w:t>
      </w:r>
      <w:r>
        <w:rPr>
          <w:rFonts w:ascii="Calibri"/>
          <w:sz w:val="16"/>
        </w:rPr>
        <w:t xml:space="preserve">II, </w:t>
      </w:r>
      <w:r>
        <w:rPr>
          <w:rFonts w:ascii="Calibri"/>
          <w:sz w:val="16"/>
        </w:rPr>
        <w:t>ve</w:t>
      </w:r>
      <w:r>
        <w:rPr>
          <w:rFonts w:ascii="Calibri"/>
          <w:sz w:val="16"/>
        </w:rPr>
        <w:t xml:space="preserve"> znění </w:t>
      </w:r>
      <w:r>
        <w:rPr>
          <w:rFonts w:ascii="Calibri"/>
          <w:sz w:val="16"/>
        </w:rPr>
        <w:t xml:space="preserve">nařízení </w:t>
      </w:r>
      <w:r>
        <w:rPr>
          <w:rFonts w:ascii="Calibri"/>
          <w:sz w:val="16"/>
        </w:rPr>
        <w:t xml:space="preserve">(EU) </w:t>
      </w:r>
      <w:r>
        <w:rPr>
          <w:rFonts w:ascii="Calibri"/>
          <w:sz w:val="16"/>
        </w:rPr>
        <w:t xml:space="preserve">č. </w:t>
      </w:r>
      <w:r>
        <w:rPr>
          <w:rFonts w:ascii="Calibri"/>
          <w:spacing w:val="-2"/>
          <w:sz w:val="16"/>
        </w:rPr>
        <w:t>453/2010</w:t>
      </w:r>
      <w:r>
        <w:rPr>
          <w:rFonts w:ascii="Calibri"/>
          <w:sz w:val="16"/>
        </w:rPr>
        <w:t>.</w:t>
      </w:r>
    </w:p>
    <w:p>
      <w:pPr>
        <w:pStyle w:val="BodyText"/>
        <w:ind w:left="0"/>
        <w:rPr>
          <w:rFonts w:ascii="Calibri"/>
        </w:rPr>
      </w:pPr>
    </w:p>
    <w:p>
      <w:pPr>
        <w:pStyle w:val="BodyText"/>
        <w:spacing w:before="198"/>
        <w:ind w:left="0"/>
        <w:rPr>
          <w:rFonts w:ascii="Calibri"/>
        </w:rPr>
      </w:pPr>
    </w:p>
    <w:p>
      <w:pPr>
        <w:pStyle w:val="ListParagraph"/>
        <w:numPr>
          <w:ilvl w:val="1"/>
          <w:numId w:val="13"/>
        </w:numPr>
        <w:tabs>
          <w:tab w:val="left" w:pos="1486"/>
        </w:tabs>
        <w:spacing w:before="0" w:after="0" w:line="390" w:lineRule="atLeast"/>
        <w:ind w:left="1130" w:right="8121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1187450</wp:posOffset>
                </wp:positionH>
                <wp:positionV relativeFrom="paragraph">
                  <wp:posOffset>-71628</wp:posOffset>
                </wp:positionV>
                <wp:extent cx="5410200" cy="167640"/>
                <wp:effectExtent l="0" t="0" r="0" b="0"/>
                <wp:wrapNone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8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1: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Identifikace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látky/směsi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90"/>
                                <w:sz w:val="18"/>
                              </w:rPr>
                              <w:t>společnosti/podniku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width:426pt;height:13.2pt;margin-top:-5.64pt;margin-left:93.5pt;mso-position-horizontal-relative:page;position:absolute;z-index:251661312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8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1: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Identifikace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látky/směsi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90"/>
                          <w:sz w:val="20"/>
                        </w:rPr>
                        <w:t>společnosti/podniku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</w:rPr>
        <w:t>Identifikátor produktu Název produktu</w:t>
      </w:r>
    </w:p>
    <w:p>
      <w:pPr>
        <w:pStyle w:val="ListParagraph"/>
        <w:numPr>
          <w:ilvl w:val="1"/>
          <w:numId w:val="13"/>
        </w:numPr>
        <w:tabs>
          <w:tab w:val="left" w:pos="1486"/>
        </w:tabs>
        <w:spacing w:before="11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Příslušná </w:t>
      </w:r>
      <w:r>
        <w:rPr>
          <w:sz w:val="18"/>
        </w:rPr>
        <w:t xml:space="preserve">určená </w:t>
      </w:r>
      <w:r>
        <w:rPr>
          <w:sz w:val="18"/>
        </w:rPr>
        <w:t xml:space="preserve">použití </w:t>
      </w:r>
      <w:r>
        <w:rPr>
          <w:sz w:val="18"/>
        </w:rPr>
        <w:t xml:space="preserve">látky </w:t>
      </w:r>
      <w:r>
        <w:rPr>
          <w:sz w:val="18"/>
        </w:rPr>
        <w:t xml:space="preserve">nebo </w:t>
      </w:r>
      <w:r>
        <w:rPr>
          <w:sz w:val="18"/>
        </w:rPr>
        <w:t xml:space="preserve">směsi </w:t>
      </w:r>
      <w:r>
        <w:rPr>
          <w:sz w:val="18"/>
        </w:rPr>
        <w:t xml:space="preserve">a </w:t>
      </w:r>
      <w:r>
        <w:rPr>
          <w:spacing w:val="-2"/>
          <w:sz w:val="18"/>
        </w:rPr>
        <w:t xml:space="preserve">nedoporučená </w:t>
      </w:r>
      <w:r>
        <w:rPr>
          <w:sz w:val="18"/>
        </w:rPr>
        <w:t>použití</w:t>
      </w:r>
    </w:p>
    <w:p>
      <w:pPr>
        <w:tabs>
          <w:tab w:val="left" w:pos="6555"/>
        </w:tabs>
        <w:spacing w:before="167"/>
        <w:ind w:left="1130" w:right="0" w:firstLine="0"/>
        <w:jc w:val="left"/>
        <w:rPr>
          <w:b/>
          <w:sz w:val="20"/>
        </w:rPr>
      </w:pPr>
      <w:r>
        <w:rPr>
          <w:sz w:val="18"/>
        </w:rPr>
        <w:t xml:space="preserve">Identifikovaná </w:t>
      </w:r>
      <w:r>
        <w:rPr>
          <w:spacing w:val="-4"/>
          <w:sz w:val="18"/>
        </w:rPr>
        <w:t>použití</w:t>
      </w:r>
      <w:r>
        <w:rPr>
          <w:sz w:val="18"/>
        </w:rPr>
        <w:tab/>
      </w:r>
      <w:r>
        <w:rPr>
          <w:b/>
          <w:spacing w:val="2"/>
          <w:sz w:val="18"/>
        </w:rPr>
        <w:t xml:space="preserve">ČISTIČ </w:t>
      </w:r>
      <w:r>
        <w:rPr>
          <w:b/>
          <w:spacing w:val="2"/>
          <w:sz w:val="18"/>
        </w:rPr>
        <w:t xml:space="preserve">KOUPELEN </w:t>
      </w:r>
      <w:r>
        <w:rPr>
          <w:b/>
          <w:spacing w:val="2"/>
          <w:sz w:val="18"/>
        </w:rPr>
        <w:t xml:space="preserve">- JEDLÁ </w:t>
      </w:r>
      <w:r>
        <w:rPr>
          <w:b/>
          <w:spacing w:val="-4"/>
          <w:sz w:val="18"/>
        </w:rPr>
        <w:t>SODA</w:t>
      </w:r>
    </w:p>
    <w:p>
      <w:pPr>
        <w:pStyle w:val="BodyText"/>
        <w:spacing w:before="178"/>
      </w:pPr>
      <w:r>
        <w:rPr>
          <w:spacing w:val="-2"/>
          <w:sz w:val="18"/>
        </w:rPr>
        <w:t>Dodavatel:</w:t>
      </w:r>
    </w:p>
    <w:p>
      <w:pPr>
        <w:pStyle w:val="Heading2"/>
        <w:spacing w:before="8"/>
        <w:ind w:left="2352"/>
      </w:pPr>
      <w:r>
        <w:rPr>
          <w:w w:val="105"/>
          <w:sz w:val="18"/>
        </w:rPr>
        <w:t xml:space="preserve">HAPPY </w:t>
      </w:r>
      <w:r>
        <w:rPr>
          <w:w w:val="105"/>
          <w:sz w:val="18"/>
        </w:rPr>
        <w:t xml:space="preserve">SH.P.K </w:t>
      </w:r>
      <w:r>
        <w:rPr>
          <w:w w:val="105"/>
          <w:sz w:val="18"/>
        </w:rPr>
        <w:t xml:space="preserve">- </w:t>
      </w:r>
      <w:r>
        <w:rPr>
          <w:spacing w:val="-2"/>
          <w:w w:val="105"/>
          <w:sz w:val="18"/>
        </w:rPr>
        <w:t>810079691</w:t>
      </w:r>
    </w:p>
    <w:p>
      <w:pPr>
        <w:pStyle w:val="BodyText"/>
        <w:spacing w:before="161" w:line="408" w:lineRule="auto"/>
        <w:ind w:left="2462" w:right="5405"/>
      </w:pPr>
      <w:r>
        <w:rPr>
          <w:sz w:val="18"/>
        </w:rPr>
        <w:t>Magj. Prishtine-Ferizaj km 10te 14000 Lipjan / Kosovo</w:t>
      </w:r>
    </w:p>
    <w:p>
      <w:pPr>
        <w:pStyle w:val="BodyText"/>
        <w:spacing w:before="15"/>
        <w:ind w:left="2462"/>
      </w:pPr>
      <w:r>
        <w:rPr>
          <w:spacing w:val="-2"/>
          <w:sz w:val="18"/>
        </w:rPr>
        <w:t>+38349406060</w:t>
      </w:r>
    </w:p>
    <w:p>
      <w:pPr>
        <w:pStyle w:val="BodyText"/>
        <w:spacing w:before="171"/>
        <w:ind w:left="2462"/>
      </w:pPr>
      <w:r>
        <w:rPr>
          <w:sz w:val="18"/>
        </w:rPr>
        <w:t xml:space="preserve">e-mail: </w:t>
      </w:r>
      <w:hyperlink r:id="rId5">
        <w:r>
          <w:rPr>
            <w:color w:val="0461C1"/>
            <w:sz w:val="18"/>
          </w:rPr>
          <w:t xml:space="preserve">info@happy.com.al </w:t>
        </w:r>
        <w:r>
          <w:rPr>
            <w:sz w:val="18"/>
          </w:rPr>
          <w:t xml:space="preserve">, </w:t>
        </w:r>
      </w:hyperlink>
      <w:hyperlink r:id="rId6">
        <w:r>
          <w:rPr>
            <w:color w:val="0461C1"/>
            <w:spacing w:val="-2"/>
            <w:sz w:val="18"/>
            <w:u w:val="single" w:color="0461C1"/>
          </w:rPr>
          <w:t>faik.hoti@almgroup-ks.com</w:t>
        </w:r>
      </w:hyperlink>
    </w:p>
    <w:p>
      <w:pPr>
        <w:pStyle w:val="ListParagraph"/>
        <w:numPr>
          <w:ilvl w:val="1"/>
          <w:numId w:val="13"/>
        </w:numPr>
        <w:tabs>
          <w:tab w:val="left" w:pos="1486"/>
        </w:tabs>
        <w:spacing w:before="171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Telefonní </w:t>
      </w:r>
      <w:r>
        <w:rPr>
          <w:sz w:val="18"/>
        </w:rPr>
        <w:t xml:space="preserve">číslo pro </w:t>
      </w:r>
      <w:r>
        <w:rPr>
          <w:sz w:val="18"/>
        </w:rPr>
        <w:t>případ nouze</w:t>
      </w:r>
      <w:r>
        <w:rPr>
          <w:sz w:val="18"/>
        </w:rPr>
        <w:t xml:space="preserve">: </w:t>
      </w:r>
      <w:r>
        <w:rPr>
          <w:spacing w:val="-2"/>
          <w:sz w:val="18"/>
        </w:rPr>
        <w:t>+38349151518</w:t>
      </w:r>
    </w:p>
    <w:p>
      <w:pPr>
        <w:pStyle w:val="BodyText"/>
        <w:spacing w:before="2"/>
        <w:ind w:left="0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107748</wp:posOffset>
                </wp:positionV>
                <wp:extent cx="5410200" cy="167640"/>
                <wp:effectExtent l="0" t="0" r="0" b="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1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2: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Identifikace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nebezpečí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width:426pt;height:13.2pt;margin-top:8.48pt;margin-left:92.75pt;mso-position-horizontal-relative:page;mso-wrap-distance-left:0;mso-wrap-distance-right:0;position:absolute;z-index:-25165312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1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2: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Identifikace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nebezpečí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8"/>
        <w:ind w:left="0"/>
      </w:pPr>
    </w:p>
    <w:p>
      <w:pPr>
        <w:pStyle w:val="ListParagraph"/>
        <w:numPr>
          <w:ilvl w:val="1"/>
          <w:numId w:val="12"/>
        </w:numPr>
        <w:tabs>
          <w:tab w:val="left" w:pos="581"/>
          <w:tab w:val="left" w:pos="751"/>
        </w:tabs>
        <w:spacing w:before="0" w:after="0" w:line="496" w:lineRule="auto"/>
        <w:ind w:left="581" w:right="6647" w:hanging="361"/>
        <w:jc w:val="left"/>
        <w:rPr>
          <w:sz w:val="20"/>
        </w:rPr>
      </w:pPr>
      <w:r>
        <w:rPr>
          <w:sz w:val="18"/>
        </w:rPr>
        <w:tab/>
      </w:r>
      <w:r>
        <w:rPr>
          <w:sz w:val="18"/>
        </w:rPr>
        <w:t>Klasifikace látky nebo směsi Klasifikace (ES 1272/2008)</w:t>
      </w:r>
    </w:p>
    <w:p>
      <w:pPr>
        <w:pStyle w:val="BodyText"/>
        <w:tabs>
          <w:tab w:val="left" w:pos="3792"/>
          <w:tab w:val="left" w:pos="3838"/>
        </w:tabs>
        <w:spacing w:before="5" w:line="252" w:lineRule="auto"/>
        <w:ind w:right="6038"/>
      </w:pPr>
      <w:r>
        <w:rPr>
          <w:sz w:val="18"/>
        </w:rPr>
        <w:t>Fyzikální nebezpečí</w:t>
      </w:r>
      <w:r>
        <w:rPr>
          <w:sz w:val="18"/>
        </w:rPr>
        <w:tab/>
      </w:r>
      <w:r>
        <w:rPr>
          <w:sz w:val="18"/>
        </w:rPr>
        <w:t xml:space="preserve">Není klasifikováno </w:t>
      </w:r>
      <w:r>
        <w:rPr>
          <w:spacing w:val="-2"/>
          <w:sz w:val="18"/>
        </w:rPr>
        <w:t xml:space="preserve">Nebezpečnost pro </w:t>
      </w:r>
      <w:r>
        <w:rPr>
          <w:sz w:val="18"/>
        </w:rPr>
        <w:t>životní prostředí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 xml:space="preserve">Není </w:t>
      </w:r>
      <w:r>
        <w:rPr>
          <w:spacing w:val="-2"/>
          <w:sz w:val="18"/>
        </w:rPr>
        <w:t>klasifikováno</w:t>
      </w:r>
    </w:p>
    <w:p>
      <w:pPr>
        <w:pStyle w:val="BodyText"/>
        <w:tabs>
          <w:tab w:val="left" w:pos="3792"/>
        </w:tabs>
        <w:spacing w:line="247" w:lineRule="auto"/>
        <w:ind w:right="1992"/>
      </w:pPr>
      <w:r>
        <w:rPr>
          <w:sz w:val="18"/>
        </w:rPr>
        <w:t>Další informace</w:t>
      </w:r>
      <w:r>
        <w:rPr>
          <w:sz w:val="18"/>
        </w:rPr>
        <w:tab/>
      </w:r>
      <w:r>
        <w:rPr>
          <w:sz w:val="18"/>
        </w:rPr>
        <w:t>Klasifikace nebezpečnosti pro zdraví viz Hodnocení chemické bezpečnosti kosmetického přípravku.</w:t>
      </w:r>
    </w:p>
    <w:p>
      <w:pPr>
        <w:pStyle w:val="BodyText"/>
        <w:ind w:left="0"/>
      </w:pPr>
    </w:p>
    <w:p>
      <w:pPr>
        <w:pStyle w:val="BodyText"/>
        <w:spacing w:before="19"/>
        <w:ind w:left="0"/>
      </w:pPr>
    </w:p>
    <w:p>
      <w:pPr>
        <w:pStyle w:val="ListParagraph"/>
        <w:numPr>
          <w:ilvl w:val="1"/>
          <w:numId w:val="12"/>
        </w:numPr>
        <w:tabs>
          <w:tab w:val="left" w:pos="578"/>
          <w:tab w:val="left" w:pos="581"/>
        </w:tabs>
        <w:spacing w:before="0" w:after="0" w:line="247" w:lineRule="auto"/>
        <w:ind w:left="581" w:right="9222" w:hanging="361"/>
        <w:jc w:val="left"/>
        <w:rPr>
          <w:sz w:val="20"/>
        </w:rPr>
      </w:pPr>
      <w:r>
        <w:rPr>
          <w:sz w:val="18"/>
        </w:rPr>
        <w:t xml:space="preserve">Prvky </w:t>
      </w:r>
      <w:r>
        <w:rPr>
          <w:sz w:val="18"/>
        </w:rPr>
        <w:t xml:space="preserve">štítku </w:t>
      </w:r>
      <w:r>
        <w:rPr>
          <w:spacing w:val="-2"/>
          <w:sz w:val="18"/>
        </w:rPr>
        <w:t>Piktogram</w:t>
      </w:r>
    </w:p>
    <w:p>
      <w:pPr>
        <w:pStyle w:val="BodyText"/>
        <w:ind w:left="0"/>
      </w:pPr>
    </w:p>
    <w:p>
      <w:pPr>
        <w:pStyle w:val="BodyText"/>
        <w:tabs>
          <w:tab w:val="left" w:pos="3792"/>
        </w:tabs>
      </w:pPr>
      <w:r>
        <w:rPr>
          <w:spacing w:val="-2"/>
          <w:sz w:val="18"/>
        </w:rPr>
        <w:t xml:space="preserve">Standardní věty o </w:t>
      </w:r>
      <w:r>
        <w:rPr>
          <w:sz w:val="18"/>
        </w:rPr>
        <w:t>nebezpečnosti</w:t>
      </w:r>
      <w:r>
        <w:rPr>
          <w:sz w:val="18"/>
        </w:rPr>
        <w:tab/>
      </w:r>
      <w:r>
        <w:rPr>
          <w:color w:val="040C28"/>
          <w:sz w:val="18"/>
        </w:rPr>
        <w:t xml:space="preserve">H314-Způsobuje </w:t>
      </w:r>
      <w:r>
        <w:rPr>
          <w:color w:val="040C28"/>
          <w:sz w:val="18"/>
        </w:rPr>
        <w:t xml:space="preserve">těžké </w:t>
      </w:r>
      <w:r>
        <w:rPr>
          <w:color w:val="040C28"/>
          <w:sz w:val="18"/>
        </w:rPr>
        <w:t xml:space="preserve">popáleniny </w:t>
      </w:r>
      <w:r>
        <w:rPr>
          <w:color w:val="040C28"/>
          <w:sz w:val="18"/>
        </w:rPr>
        <w:t xml:space="preserve">kůže </w:t>
      </w:r>
      <w:r>
        <w:rPr>
          <w:color w:val="040C28"/>
          <w:sz w:val="18"/>
        </w:rPr>
        <w:t xml:space="preserve">a </w:t>
      </w:r>
      <w:r>
        <w:rPr>
          <w:color w:val="040C28"/>
          <w:spacing w:val="-2"/>
          <w:sz w:val="18"/>
        </w:rPr>
        <w:t xml:space="preserve">poškození </w:t>
      </w:r>
      <w:r>
        <w:rPr>
          <w:color w:val="040C28"/>
          <w:sz w:val="18"/>
        </w:rPr>
        <w:t>očí</w:t>
      </w:r>
    </w:p>
    <w:p>
      <w:pPr>
        <w:pStyle w:val="BodyText"/>
        <w:ind w:left="90"/>
        <w:jc w:val="center"/>
      </w:pPr>
      <w:r>
        <w:rPr>
          <w:color w:val="040C28"/>
          <w:sz w:val="18"/>
        </w:rPr>
        <w:t xml:space="preserve">H317-Může </w:t>
      </w:r>
      <w:r>
        <w:rPr>
          <w:color w:val="040C28"/>
          <w:sz w:val="18"/>
        </w:rPr>
        <w:t xml:space="preserve">způsobit </w:t>
      </w:r>
      <w:r>
        <w:rPr>
          <w:color w:val="040C28"/>
          <w:sz w:val="18"/>
        </w:rPr>
        <w:t xml:space="preserve">alergickou </w:t>
      </w:r>
      <w:r>
        <w:rPr>
          <w:color w:val="040C28"/>
          <w:sz w:val="18"/>
        </w:rPr>
        <w:t xml:space="preserve">kožní </w:t>
      </w:r>
      <w:r>
        <w:rPr>
          <w:color w:val="040C28"/>
          <w:spacing w:val="-2"/>
          <w:sz w:val="18"/>
        </w:rPr>
        <w:t>reakci</w:t>
      </w:r>
    </w:p>
    <w:p>
      <w:pPr>
        <w:pStyle w:val="Heading2"/>
      </w:pPr>
      <w:r>
        <w:rPr>
          <w:w w:val="85"/>
          <w:sz w:val="18"/>
        </w:rPr>
        <w:t xml:space="preserve">Preventivní </w:t>
      </w:r>
      <w:r>
        <w:rPr>
          <w:spacing w:val="-2"/>
          <w:sz w:val="18"/>
        </w:rPr>
        <w:t>prohlášení</w:t>
      </w:r>
    </w:p>
    <w:p>
      <w:pPr>
        <w:pStyle w:val="BodyText"/>
        <w:spacing w:before="1"/>
        <w:ind w:left="0"/>
        <w:rPr>
          <w:b/>
          <w:sz w:val="17"/>
        </w:rPr>
      </w:pPr>
    </w:p>
    <w:p>
      <w:pPr>
        <w:spacing w:before="0"/>
        <w:ind w:left="3653" w:right="0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678180</wp:posOffset>
            </wp:positionH>
            <wp:positionV relativeFrom="paragraph">
              <wp:posOffset>163230</wp:posOffset>
            </wp:positionV>
            <wp:extent cx="786130" cy="781050"/>
            <wp:effectExtent l="0" t="0" r="0" b="0"/>
            <wp:wrapNone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16"/>
        </w:rPr>
        <w:t xml:space="preserve">P264 </w:t>
      </w:r>
      <w:r>
        <w:rPr>
          <w:spacing w:val="-4"/>
          <w:sz w:val="16"/>
        </w:rPr>
        <w:t xml:space="preserve">Po </w:t>
      </w:r>
      <w:r>
        <w:rPr>
          <w:spacing w:val="-4"/>
          <w:sz w:val="16"/>
        </w:rPr>
        <w:t xml:space="preserve">manipulaci s </w:t>
      </w:r>
      <w:r>
        <w:rPr>
          <w:spacing w:val="-4"/>
          <w:sz w:val="16"/>
        </w:rPr>
        <w:t xml:space="preserve">kontaminovanou </w:t>
      </w:r>
      <w:r>
        <w:rPr>
          <w:spacing w:val="-4"/>
          <w:sz w:val="16"/>
        </w:rPr>
        <w:t xml:space="preserve">pokožkou ji </w:t>
      </w:r>
      <w:r>
        <w:rPr>
          <w:spacing w:val="-4"/>
          <w:sz w:val="16"/>
        </w:rPr>
        <w:t xml:space="preserve">důkladně </w:t>
      </w:r>
      <w:r>
        <w:rPr>
          <w:spacing w:val="-4"/>
          <w:sz w:val="16"/>
        </w:rPr>
        <w:t>omyjte</w:t>
      </w:r>
      <w:r>
        <w:rPr>
          <w:spacing w:val="-4"/>
          <w:sz w:val="16"/>
        </w:rPr>
        <w:t>.</w:t>
      </w:r>
    </w:p>
    <w:p>
      <w:pPr>
        <w:spacing w:before="155" w:line="288" w:lineRule="auto"/>
        <w:ind w:left="3656" w:right="1992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1647825</wp:posOffset>
            </wp:positionH>
            <wp:positionV relativeFrom="paragraph">
              <wp:posOffset>77198</wp:posOffset>
            </wp:positionV>
            <wp:extent cx="704850" cy="704850"/>
            <wp:effectExtent l="0" t="0" r="0" b="0"/>
            <wp:wrapNone/>
            <wp:docPr id="7" name="Image 7" descr="Online mixture classification calculat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Online mixture classification calculator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 xml:space="preserve">P280 Používejte ochranné rukavice/ochranný oděv/ochranu očí/ochranu obličeje.P305+P351+P338 </w:t>
      </w:r>
      <w:r>
        <w:rPr>
          <w:sz w:val="16"/>
        </w:rPr>
        <w:t xml:space="preserve">PŘI </w:t>
      </w:r>
      <w:r>
        <w:rPr>
          <w:sz w:val="16"/>
        </w:rPr>
        <w:t xml:space="preserve">ZASAŽENÍ </w:t>
      </w:r>
      <w:r>
        <w:rPr>
          <w:sz w:val="16"/>
        </w:rPr>
        <w:t>OČÍ</w:t>
      </w:r>
      <w:r>
        <w:rPr>
          <w:sz w:val="16"/>
        </w:rPr>
        <w:t xml:space="preserve">: Opatrně </w:t>
      </w:r>
      <w:r>
        <w:rPr>
          <w:sz w:val="16"/>
        </w:rPr>
        <w:t xml:space="preserve">je několik minut </w:t>
      </w:r>
      <w:r>
        <w:rPr>
          <w:sz w:val="16"/>
        </w:rPr>
        <w:t xml:space="preserve">vyplachujte </w:t>
      </w:r>
      <w:r>
        <w:rPr>
          <w:sz w:val="16"/>
        </w:rPr>
        <w:t>vodou.</w:t>
      </w:r>
    </w:p>
    <w:p>
      <w:pPr>
        <w:spacing w:before="7" w:line="283" w:lineRule="auto"/>
        <w:ind w:left="3656" w:right="2617" w:firstLine="0"/>
        <w:jc w:val="left"/>
        <w:rPr>
          <w:sz w:val="17"/>
        </w:rPr>
      </w:pPr>
      <w:r>
        <w:rPr>
          <w:sz w:val="16"/>
        </w:rPr>
        <w:t xml:space="preserve">Vyjměte kontaktní čočky, pokud jsou přítomny a lze je snadno vyjmout. Pokračujte ve vyplachování.P337+P313 </w:t>
      </w:r>
      <w:r>
        <w:rPr>
          <w:sz w:val="16"/>
        </w:rPr>
        <w:t xml:space="preserve">Pokud </w:t>
      </w:r>
      <w:r>
        <w:rPr>
          <w:sz w:val="16"/>
        </w:rPr>
        <w:t xml:space="preserve">podráždění </w:t>
      </w:r>
      <w:r>
        <w:rPr>
          <w:sz w:val="16"/>
        </w:rPr>
        <w:t xml:space="preserve">očí </w:t>
      </w:r>
      <w:r>
        <w:rPr>
          <w:sz w:val="16"/>
        </w:rPr>
        <w:t xml:space="preserve">přetrvává: </w:t>
      </w:r>
      <w:r>
        <w:rPr>
          <w:sz w:val="16"/>
        </w:rPr>
        <w:t xml:space="preserve">Vyhledejte </w:t>
      </w:r>
      <w:r>
        <w:rPr>
          <w:sz w:val="16"/>
        </w:rPr>
        <w:t xml:space="preserve">lékařskou </w:t>
      </w:r>
      <w:r>
        <w:rPr>
          <w:spacing w:val="-2"/>
          <w:sz w:val="16"/>
        </w:rPr>
        <w:t>pomoc</w:t>
      </w:r>
      <w:r>
        <w:rPr>
          <w:sz w:val="16"/>
        </w:rPr>
        <w:t>.</w:t>
      </w:r>
    </w:p>
    <w:p>
      <w:pPr>
        <w:spacing w:before="2" w:line="290" w:lineRule="auto"/>
        <w:ind w:left="3656" w:right="1992" w:firstLine="0"/>
        <w:jc w:val="left"/>
        <w:rPr>
          <w:sz w:val="17"/>
        </w:rPr>
      </w:pPr>
      <w:r>
        <w:rPr>
          <w:sz w:val="16"/>
        </w:rPr>
        <w:t xml:space="preserve">P280 Používejte ochranné rukavice/ochranný oděv/ochranu očí/ochranu obličeje.P305+P351+P338 </w:t>
      </w:r>
      <w:r>
        <w:rPr>
          <w:sz w:val="16"/>
        </w:rPr>
        <w:t xml:space="preserve">PŘI </w:t>
      </w:r>
      <w:r>
        <w:rPr>
          <w:sz w:val="16"/>
        </w:rPr>
        <w:t xml:space="preserve">ZASAŽENÍ </w:t>
      </w:r>
      <w:r>
        <w:rPr>
          <w:sz w:val="16"/>
        </w:rPr>
        <w:t>OČÍ</w:t>
      </w:r>
      <w:r>
        <w:rPr>
          <w:sz w:val="16"/>
        </w:rPr>
        <w:t xml:space="preserve">: Opatrně </w:t>
      </w:r>
      <w:r>
        <w:rPr>
          <w:sz w:val="16"/>
        </w:rPr>
        <w:t xml:space="preserve">je několik minut </w:t>
      </w:r>
      <w:r>
        <w:rPr>
          <w:sz w:val="16"/>
        </w:rPr>
        <w:t xml:space="preserve">vyplachujte </w:t>
      </w:r>
      <w:r>
        <w:rPr>
          <w:sz w:val="16"/>
        </w:rPr>
        <w:t>vodou.</w:t>
      </w:r>
    </w:p>
    <w:p>
      <w:pPr>
        <w:spacing w:before="1" w:line="285" w:lineRule="auto"/>
        <w:ind w:left="3656" w:right="2617" w:firstLine="0"/>
        <w:jc w:val="left"/>
        <w:rPr>
          <w:sz w:val="17"/>
        </w:rPr>
      </w:pPr>
      <w:r>
        <w:rPr>
          <w:sz w:val="16"/>
        </w:rPr>
        <w:t xml:space="preserve">Vyjměte kontaktní čočky, pokud jsou přítomny a lze je snadno vyjmout. Pokračujte ve vyplachování.P337+P313 </w:t>
      </w:r>
      <w:r>
        <w:rPr>
          <w:sz w:val="16"/>
        </w:rPr>
        <w:t xml:space="preserve">Pokud </w:t>
      </w:r>
      <w:r>
        <w:rPr>
          <w:sz w:val="16"/>
        </w:rPr>
        <w:t xml:space="preserve">podráždění </w:t>
      </w:r>
      <w:r>
        <w:rPr>
          <w:sz w:val="16"/>
        </w:rPr>
        <w:t xml:space="preserve">očí </w:t>
      </w:r>
      <w:r>
        <w:rPr>
          <w:sz w:val="16"/>
        </w:rPr>
        <w:t xml:space="preserve">přetrvává: </w:t>
      </w:r>
      <w:r>
        <w:rPr>
          <w:sz w:val="16"/>
        </w:rPr>
        <w:t xml:space="preserve">Vyhledejte </w:t>
      </w:r>
      <w:r>
        <w:rPr>
          <w:sz w:val="16"/>
        </w:rPr>
        <w:t xml:space="preserve">lékařskou </w:t>
      </w:r>
      <w:r>
        <w:rPr>
          <w:spacing w:val="-2"/>
          <w:sz w:val="16"/>
        </w:rPr>
        <w:t>pomoc</w:t>
      </w:r>
      <w:r>
        <w:rPr>
          <w:sz w:val="16"/>
        </w:rPr>
        <w:t>.</w:t>
      </w:r>
    </w:p>
    <w:p>
      <w:pPr>
        <w:spacing w:after="0" w:line="285" w:lineRule="auto"/>
        <w:jc w:val="left"/>
        <w:rPr>
          <w:sz w:val="17"/>
        </w:rPr>
        <w:sectPr>
          <w:footerReference w:type="default" r:id="rId9"/>
          <w:type w:val="continuous"/>
          <w:pgSz w:w="12240" w:h="15840"/>
          <w:pgMar w:top="220" w:right="360" w:bottom="1280" w:left="720" w:header="0" w:footer="1097"/>
          <w:pgNumType w:start="1"/>
          <w:cols w:space="708"/>
        </w:sectPr>
      </w:pPr>
    </w:p>
    <w:p>
      <w:pPr>
        <w:pStyle w:val="BodyText"/>
        <w:spacing w:before="48"/>
        <w:ind w:left="0"/>
      </w:pPr>
    </w:p>
    <w:p>
      <w:pPr>
        <w:pStyle w:val="BodyText"/>
      </w:pPr>
      <w:r>
        <w:rPr>
          <w:sz w:val="18"/>
        </w:rPr>
        <w:t xml:space="preserve">Další </w:t>
      </w:r>
      <w:r>
        <w:rPr>
          <w:spacing w:val="-2"/>
          <w:sz w:val="18"/>
        </w:rPr>
        <w:t>nebezpečí</w:t>
      </w:r>
    </w:p>
    <w:p>
      <w:pPr>
        <w:pStyle w:val="BodyText"/>
        <w:spacing w:before="15"/>
        <w:ind w:left="0"/>
      </w:pPr>
    </w:p>
    <w:p>
      <w:pPr>
        <w:pStyle w:val="BodyText"/>
        <w:rPr>
          <w:sz w:val="17"/>
        </w:rPr>
      </w:pPr>
      <w:r>
        <w:rPr>
          <w:sz w:val="18"/>
        </w:rPr>
        <w:t xml:space="preserve">Tento </w:t>
      </w:r>
      <w:r>
        <w:rPr>
          <w:sz w:val="18"/>
        </w:rPr>
        <w:t xml:space="preserve">výrobek </w:t>
      </w:r>
      <w:r>
        <w:rPr>
          <w:sz w:val="18"/>
        </w:rPr>
        <w:t xml:space="preserve">neobsahuje </w:t>
      </w:r>
      <w:r>
        <w:rPr>
          <w:sz w:val="18"/>
        </w:rPr>
        <w:t xml:space="preserve">žádné </w:t>
      </w:r>
      <w:r>
        <w:rPr>
          <w:sz w:val="18"/>
        </w:rPr>
        <w:t xml:space="preserve">látky </w:t>
      </w:r>
      <w:r>
        <w:rPr>
          <w:sz w:val="18"/>
        </w:rPr>
        <w:t xml:space="preserve">klasifikované </w:t>
      </w:r>
      <w:r>
        <w:rPr>
          <w:sz w:val="18"/>
        </w:rPr>
        <w:t xml:space="preserve">jako </w:t>
      </w:r>
      <w:r>
        <w:rPr>
          <w:sz w:val="18"/>
        </w:rPr>
        <w:t xml:space="preserve">PBT </w:t>
      </w:r>
      <w:r>
        <w:rPr>
          <w:sz w:val="18"/>
        </w:rPr>
        <w:t xml:space="preserve">nebo </w:t>
      </w:r>
      <w:r>
        <w:rPr>
          <w:spacing w:val="-2"/>
          <w:sz w:val="18"/>
        </w:rPr>
        <w:t>vPvB</w:t>
      </w:r>
      <w:r>
        <w:rPr>
          <w:spacing w:val="-2"/>
          <w:sz w:val="16"/>
        </w:rPr>
        <w:t>.</w:t>
      </w:r>
    </w:p>
    <w:p>
      <w:pPr>
        <w:pStyle w:val="BodyText"/>
        <w:ind w:left="0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113797</wp:posOffset>
                </wp:positionV>
                <wp:extent cx="5410200" cy="166370"/>
                <wp:effectExtent l="0" t="0" r="0" b="0"/>
                <wp:wrapTopAndBottom/>
                <wp:docPr id="12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3: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Složení/informace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složkách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width:426pt;height:13.1pt;margin-top:8.96pt;margin-left:92.75pt;mso-position-horizontal-relative:page;mso-wrap-distance-left:0;mso-wrap-distance-right:0;position:absolute;z-index:-251651072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6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3: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Složení/informace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složkách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54"/>
        <w:ind w:left="1130" w:right="0" w:firstLine="0"/>
        <w:jc w:val="left"/>
        <w:rPr>
          <w:b/>
          <w:sz w:val="17"/>
        </w:rPr>
      </w:pPr>
      <w:r>
        <w:rPr>
          <w:b/>
          <w:sz w:val="16"/>
        </w:rPr>
        <w:t xml:space="preserve">3.2. </w:t>
      </w:r>
      <w:r>
        <w:rPr>
          <w:b/>
          <w:spacing w:val="-2"/>
          <w:sz w:val="16"/>
        </w:rPr>
        <w:t>Směsi</w:t>
      </w:r>
    </w:p>
    <w:p>
      <w:pPr>
        <w:pStyle w:val="BodyText"/>
        <w:ind w:left="0"/>
        <w:rPr>
          <w:b/>
          <w:sz w:val="15"/>
        </w:rPr>
      </w:pPr>
    </w:p>
    <w:tbl>
      <w:tblPr>
        <w:tblStyle w:val="TableNormal"/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29"/>
        <w:gridCol w:w="1466"/>
        <w:gridCol w:w="801"/>
        <w:gridCol w:w="2926"/>
      </w:tblGrid>
      <w:tr>
        <w:tblPrEx>
          <w:tblW w:w="0" w:type="auto"/>
          <w:tblInd w:w="1150" w:type="dxa"/>
          <w:tblLayout w:type="fixed"/>
          <w:tblLook w:val="01E0"/>
        </w:tblPrEx>
        <w:trPr>
          <w:trHeight w:val="695"/>
        </w:trPr>
        <w:tc>
          <w:tcPr>
            <w:tcW w:w="3329" w:type="dxa"/>
          </w:tcPr>
          <w:p>
            <w:pPr>
              <w:pStyle w:val="TableParagraph"/>
              <w:spacing w:before="2"/>
              <w:ind w:left="107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NÁZEV </w:t>
            </w:r>
            <w:r>
              <w:rPr>
                <w:sz w:val="18"/>
              </w:rPr>
              <w:t>INCI</w:t>
            </w:r>
          </w:p>
        </w:tc>
        <w:tc>
          <w:tcPr>
            <w:tcW w:w="1466" w:type="dxa"/>
          </w:tcPr>
          <w:p>
            <w:pPr>
              <w:pStyle w:val="TableParagraph"/>
              <w:spacing w:before="2"/>
              <w:ind w:left="105" w:right="117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ČÍSLO </w:t>
            </w:r>
            <w:r>
              <w:rPr>
                <w:spacing w:val="-4"/>
                <w:sz w:val="18"/>
              </w:rPr>
              <w:t>CAS</w:t>
            </w:r>
          </w:p>
        </w:tc>
        <w:tc>
          <w:tcPr>
            <w:tcW w:w="801" w:type="dxa"/>
          </w:tcPr>
          <w:p>
            <w:pPr>
              <w:pStyle w:val="TableParagraph"/>
              <w:spacing w:before="2" w:line="242" w:lineRule="auto"/>
              <w:ind w:left="106"/>
              <w:rPr>
                <w:sz w:val="20"/>
              </w:rPr>
            </w:pPr>
            <w:r>
              <w:rPr>
                <w:spacing w:val="-4"/>
                <w:sz w:val="18"/>
              </w:rPr>
              <w:t>MAX RATE</w:t>
            </w:r>
          </w:p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10"/>
                <w:sz w:val="18"/>
              </w:rPr>
              <w:t>%</w:t>
            </w:r>
          </w:p>
        </w:tc>
        <w:tc>
          <w:tcPr>
            <w:tcW w:w="2926" w:type="dxa"/>
          </w:tcPr>
          <w:p>
            <w:pPr>
              <w:pStyle w:val="TableParagraph"/>
              <w:spacing w:before="6"/>
              <w:rPr>
                <w:sz w:val="17"/>
              </w:rPr>
            </w:pPr>
            <w:r>
              <w:rPr>
                <w:spacing w:val="-2"/>
                <w:sz w:val="16"/>
              </w:rPr>
              <w:t>KLASIFIKACE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205"/>
        </w:trPr>
        <w:tc>
          <w:tcPr>
            <w:tcW w:w="3329" w:type="dxa"/>
          </w:tcPr>
          <w:p>
            <w:pPr>
              <w:pStyle w:val="TableParagraph"/>
              <w:spacing w:line="186" w:lineRule="exact"/>
              <w:ind w:left="107"/>
              <w:rPr>
                <w:sz w:val="17"/>
              </w:rPr>
            </w:pPr>
            <w:r>
              <w:rPr>
                <w:spacing w:val="-4"/>
                <w:sz w:val="16"/>
              </w:rPr>
              <w:t>AQUA</w:t>
            </w:r>
          </w:p>
        </w:tc>
        <w:tc>
          <w:tcPr>
            <w:tcW w:w="1466" w:type="dxa"/>
          </w:tcPr>
          <w:p>
            <w:pPr>
              <w:pStyle w:val="TableParagraph"/>
              <w:spacing w:line="186" w:lineRule="exact"/>
              <w:ind w:left="105"/>
              <w:rPr>
                <w:sz w:val="17"/>
              </w:rPr>
            </w:pPr>
            <w:r>
              <w:rPr>
                <w:spacing w:val="-10"/>
                <w:sz w:val="16"/>
              </w:rPr>
              <w:t>7732-18-5</w:t>
            </w:r>
          </w:p>
        </w:tc>
        <w:tc>
          <w:tcPr>
            <w:tcW w:w="801" w:type="dxa"/>
          </w:tcPr>
          <w:p>
            <w:pPr>
              <w:pStyle w:val="TableParagraph"/>
              <w:spacing w:line="186" w:lineRule="exact"/>
              <w:ind w:left="106"/>
              <w:rPr>
                <w:sz w:val="17"/>
              </w:rPr>
            </w:pPr>
            <w:r>
              <w:rPr>
                <w:spacing w:val="-2"/>
                <w:sz w:val="16"/>
              </w:rPr>
              <w:t>QS.100</w:t>
            </w:r>
          </w:p>
        </w:tc>
        <w:tc>
          <w:tcPr>
            <w:tcW w:w="2926" w:type="dxa"/>
          </w:tcPr>
          <w:p>
            <w:pPr>
              <w:pStyle w:val="TableParagraph"/>
              <w:spacing w:line="186" w:lineRule="exact"/>
              <w:rPr>
                <w:sz w:val="17"/>
              </w:rPr>
            </w:pPr>
            <w:r>
              <w:rPr>
                <w:sz w:val="16"/>
              </w:rPr>
              <w:t xml:space="preserve">Není </w:t>
            </w:r>
            <w:r>
              <w:rPr>
                <w:spacing w:val="-2"/>
                <w:sz w:val="16"/>
              </w:rPr>
              <w:t>klasifikováno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1231"/>
        </w:trPr>
        <w:tc>
          <w:tcPr>
            <w:tcW w:w="3329" w:type="dxa"/>
          </w:tcPr>
          <w:p>
            <w:pPr>
              <w:pStyle w:val="TableParagraph"/>
              <w:spacing w:line="187" w:lineRule="exact"/>
              <w:ind w:left="107"/>
              <w:rPr>
                <w:sz w:val="17"/>
              </w:rPr>
            </w:pPr>
            <w:r>
              <w:rPr>
                <w:sz w:val="16"/>
              </w:rPr>
              <w:t xml:space="preserve">Chlorid </w:t>
            </w:r>
            <w:r>
              <w:rPr>
                <w:sz w:val="16"/>
              </w:rPr>
              <w:t xml:space="preserve">benzalkonia </w:t>
            </w:r>
            <w:r>
              <w:rPr>
                <w:spacing w:val="-5"/>
                <w:sz w:val="16"/>
              </w:rPr>
              <w:t>50%</w:t>
            </w:r>
          </w:p>
        </w:tc>
        <w:tc>
          <w:tcPr>
            <w:tcW w:w="1466" w:type="dxa"/>
          </w:tcPr>
          <w:p>
            <w:pPr>
              <w:pStyle w:val="TableParagraph"/>
              <w:spacing w:line="217" w:lineRule="exact"/>
              <w:ind w:left="105"/>
              <w:rPr>
                <w:rFonts w:ascii="Calibri"/>
                <w:sz w:val="20"/>
              </w:rPr>
            </w:pPr>
            <w:r>
              <w:rPr>
                <w:rFonts w:ascii="Calibri"/>
                <w:color w:val="040C28"/>
                <w:spacing w:val="-10"/>
                <w:sz w:val="18"/>
              </w:rPr>
              <w:t>63449-41-2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ind w:left="106"/>
              <w:rPr>
                <w:sz w:val="17"/>
              </w:rPr>
            </w:pPr>
            <w:r>
              <w:rPr>
                <w:spacing w:val="-2"/>
                <w:sz w:val="16"/>
              </w:rPr>
              <w:t>0.</w:t>
            </w:r>
            <w:r>
              <w:rPr>
                <w:spacing w:val="-10"/>
                <w:sz w:val="16"/>
              </w:rPr>
              <w:t>1-1</w:t>
            </w:r>
          </w:p>
        </w:tc>
        <w:tc>
          <w:tcPr>
            <w:tcW w:w="2926" w:type="dxa"/>
          </w:tcPr>
          <w:p>
            <w:pPr>
              <w:pStyle w:val="TableParagraph"/>
              <w:spacing w:before="3" w:line="201" w:lineRule="auto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18"/>
              </w:rPr>
              <w:t xml:space="preserve">Akutní toxicita (orální), kategorie 4 H302 Žíravost/dráždivost pro kůži, kategorie </w:t>
            </w:r>
            <w:r>
              <w:rPr>
                <w:rFonts w:ascii="Calibri" w:hAnsi="Calibri"/>
                <w:sz w:val="18"/>
              </w:rPr>
              <w:t xml:space="preserve">1, </w:t>
            </w:r>
            <w:r>
              <w:rPr>
                <w:rFonts w:ascii="Calibri" w:hAnsi="Calibri"/>
                <w:sz w:val="18"/>
              </w:rPr>
              <w:t xml:space="preserve">podkategorie </w:t>
            </w:r>
            <w:r>
              <w:rPr>
                <w:rFonts w:ascii="Calibri" w:hAnsi="Calibri"/>
                <w:sz w:val="18"/>
              </w:rPr>
              <w:t xml:space="preserve">1B </w:t>
            </w:r>
            <w:r>
              <w:rPr>
                <w:rFonts w:ascii="Calibri" w:hAnsi="Calibri"/>
                <w:sz w:val="18"/>
              </w:rPr>
              <w:t>H314 Nebezpečný pro vodní prostředí - akutní nebezpečnost,</w:t>
            </w:r>
          </w:p>
          <w:p>
            <w:pPr>
              <w:pStyle w:val="TableParagraph"/>
              <w:spacing w:line="183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Kategorie </w:t>
            </w:r>
            <w:r>
              <w:rPr>
                <w:rFonts w:ascii="Calibri"/>
                <w:spacing w:val="-10"/>
                <w:sz w:val="18"/>
              </w:rPr>
              <w:t>1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966"/>
        </w:trPr>
        <w:tc>
          <w:tcPr>
            <w:tcW w:w="3329" w:type="dxa"/>
          </w:tcPr>
          <w:p>
            <w:pPr>
              <w:pStyle w:val="TableParagraph"/>
              <w:spacing w:line="219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Lauryléter </w:t>
            </w:r>
            <w:r>
              <w:rPr>
                <w:rFonts w:ascii="Calibri"/>
                <w:sz w:val="18"/>
              </w:rPr>
              <w:t xml:space="preserve">sulfát </w:t>
            </w:r>
            <w:r>
              <w:rPr>
                <w:rFonts w:ascii="Calibri"/>
                <w:sz w:val="18"/>
              </w:rPr>
              <w:t xml:space="preserve">sodný </w:t>
            </w:r>
            <w:r>
              <w:rPr>
                <w:rFonts w:ascii="Calibri"/>
                <w:spacing w:val="-2"/>
                <w:sz w:val="18"/>
              </w:rPr>
              <w:t>(SLES)</w:t>
            </w:r>
          </w:p>
        </w:tc>
        <w:tc>
          <w:tcPr>
            <w:tcW w:w="1466" w:type="dxa"/>
          </w:tcPr>
          <w:p>
            <w:pPr>
              <w:pStyle w:val="TableParagraph"/>
              <w:spacing w:line="219" w:lineRule="exact"/>
              <w:ind w:left="105"/>
              <w:rPr>
                <w:rFonts w:ascii="Calibri"/>
                <w:sz w:val="20"/>
              </w:rPr>
            </w:pPr>
            <w:r>
              <w:rPr>
                <w:rFonts w:ascii="Calibri"/>
                <w:spacing w:val="-10"/>
                <w:sz w:val="18"/>
              </w:rPr>
              <w:t>9004-82-4</w:t>
            </w:r>
          </w:p>
        </w:tc>
        <w:tc>
          <w:tcPr>
            <w:tcW w:w="801" w:type="dxa"/>
          </w:tcPr>
          <w:p>
            <w:pPr>
              <w:pStyle w:val="TableParagraph"/>
              <w:spacing w:before="6"/>
              <w:ind w:left="108"/>
              <w:rPr>
                <w:sz w:val="17"/>
              </w:rPr>
            </w:pPr>
            <w:r>
              <w:rPr>
                <w:spacing w:val="-10"/>
                <w:sz w:val="16"/>
              </w:rPr>
              <w:t>1-5</w:t>
            </w:r>
          </w:p>
        </w:tc>
        <w:tc>
          <w:tcPr>
            <w:tcW w:w="2926" w:type="dxa"/>
          </w:tcPr>
          <w:p>
            <w:pPr>
              <w:pStyle w:val="TableParagraph"/>
              <w:spacing w:line="237" w:lineRule="auto"/>
              <w:ind w:right="178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Dráždí </w:t>
            </w:r>
            <w:r>
              <w:rPr>
                <w:rFonts w:ascii="Calibri"/>
                <w:sz w:val="18"/>
              </w:rPr>
              <w:t xml:space="preserve">oči. </w:t>
            </w:r>
            <w:r>
              <w:rPr>
                <w:rFonts w:ascii="Calibri"/>
                <w:sz w:val="18"/>
              </w:rPr>
              <w:t xml:space="preserve">2A </w:t>
            </w:r>
            <w:r>
              <w:rPr>
                <w:rFonts w:ascii="Calibri"/>
                <w:sz w:val="18"/>
              </w:rPr>
              <w:t xml:space="preserve">H319 </w:t>
            </w:r>
            <w:r>
              <w:rPr>
                <w:rFonts w:ascii="Calibri"/>
                <w:sz w:val="18"/>
              </w:rPr>
              <w:t xml:space="preserve">Způsobuje </w:t>
            </w:r>
            <w:r>
              <w:rPr>
                <w:rFonts w:ascii="Calibri"/>
                <w:sz w:val="18"/>
              </w:rPr>
              <w:t>vážné podráždění očí. Akutní tox. 5 H303 Může být</w:t>
            </w:r>
          </w:p>
          <w:p>
            <w:pPr>
              <w:pStyle w:val="TableParagraph"/>
              <w:spacing w:line="223" w:lineRule="exact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škodlivé </w:t>
            </w:r>
            <w:r>
              <w:rPr>
                <w:rFonts w:ascii="Calibri"/>
                <w:spacing w:val="-2"/>
                <w:sz w:val="18"/>
              </w:rPr>
              <w:t>při požití.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621"/>
        </w:trPr>
        <w:tc>
          <w:tcPr>
            <w:tcW w:w="3329" w:type="dxa"/>
          </w:tcPr>
          <w:p>
            <w:pPr>
              <w:pStyle w:val="TableParagraph"/>
              <w:spacing w:before="6"/>
              <w:ind w:left="107"/>
              <w:rPr>
                <w:sz w:val="17"/>
              </w:rPr>
            </w:pPr>
            <w:r>
              <w:rPr>
                <w:spacing w:val="-2"/>
                <w:sz w:val="16"/>
              </w:rPr>
              <w:t xml:space="preserve">HYDROGENUHLIČITAN </w:t>
            </w:r>
            <w:r>
              <w:rPr>
                <w:sz w:val="16"/>
              </w:rPr>
              <w:t>SODNÝ</w:t>
            </w:r>
          </w:p>
        </w:tc>
        <w:tc>
          <w:tcPr>
            <w:tcW w:w="1466" w:type="dxa"/>
          </w:tcPr>
          <w:p>
            <w:pPr>
              <w:pStyle w:val="TableParagraph"/>
              <w:spacing w:before="205"/>
              <w:ind w:left="372"/>
              <w:rPr>
                <w:sz w:val="18"/>
              </w:rPr>
            </w:pPr>
            <w:r>
              <w:rPr>
                <w:color w:val="424242"/>
                <w:spacing w:val="-10"/>
                <w:sz w:val="17"/>
              </w:rPr>
              <w:t>144-55-8</w:t>
            </w:r>
          </w:p>
        </w:tc>
        <w:tc>
          <w:tcPr>
            <w:tcW w:w="801" w:type="dxa"/>
          </w:tcPr>
          <w:p>
            <w:pPr>
              <w:pStyle w:val="TableParagraph"/>
              <w:spacing w:before="6"/>
              <w:ind w:left="108"/>
              <w:rPr>
                <w:sz w:val="17"/>
              </w:rPr>
            </w:pPr>
            <w:r>
              <w:rPr>
                <w:spacing w:val="-2"/>
                <w:sz w:val="16"/>
              </w:rPr>
              <w:t>0.</w:t>
            </w:r>
            <w:r>
              <w:rPr>
                <w:spacing w:val="-10"/>
                <w:sz w:val="16"/>
              </w:rPr>
              <w:t>1-1</w:t>
            </w:r>
          </w:p>
        </w:tc>
        <w:tc>
          <w:tcPr>
            <w:tcW w:w="2926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618"/>
        </w:trPr>
        <w:tc>
          <w:tcPr>
            <w:tcW w:w="3329" w:type="dxa"/>
          </w:tcPr>
          <w:p>
            <w:pPr>
              <w:pStyle w:val="TableParagraph"/>
              <w:spacing w:line="219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pacing w:val="-4"/>
                <w:sz w:val="18"/>
              </w:rPr>
              <w:t xml:space="preserve">KYSELINA </w:t>
            </w:r>
            <w:r>
              <w:rPr>
                <w:rFonts w:ascii="Calibri"/>
                <w:sz w:val="18"/>
              </w:rPr>
              <w:t>CITROVÁ</w:t>
            </w:r>
          </w:p>
        </w:tc>
        <w:tc>
          <w:tcPr>
            <w:tcW w:w="1466" w:type="dxa"/>
          </w:tcPr>
          <w:p>
            <w:pPr>
              <w:pStyle w:val="TableParagraph"/>
              <w:spacing w:line="243" w:lineRule="exact"/>
              <w:ind w:left="417"/>
              <w:rPr>
                <w:rFonts w:ascii="Calibri"/>
                <w:sz w:val="20"/>
              </w:rPr>
            </w:pPr>
            <w:r>
              <w:rPr>
                <w:rFonts w:ascii="Calibri"/>
                <w:spacing w:val="-10"/>
                <w:sz w:val="18"/>
              </w:rPr>
              <w:t>77-92-9</w:t>
            </w:r>
          </w:p>
        </w:tc>
        <w:tc>
          <w:tcPr>
            <w:tcW w:w="801" w:type="dxa"/>
          </w:tcPr>
          <w:p>
            <w:pPr>
              <w:pStyle w:val="TableParagraph"/>
              <w:spacing w:line="219" w:lineRule="exact"/>
              <w:ind w:left="108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18"/>
              </w:rPr>
              <w:t>0.05-0</w:t>
            </w:r>
            <w:r>
              <w:rPr>
                <w:rFonts w:ascii="Calibri"/>
                <w:spacing w:val="-5"/>
                <w:sz w:val="18"/>
              </w:rPr>
              <w:t>.1</w:t>
            </w:r>
          </w:p>
        </w:tc>
        <w:tc>
          <w:tcPr>
            <w:tcW w:w="2926" w:type="dxa"/>
          </w:tcPr>
          <w:p>
            <w:pPr>
              <w:pStyle w:val="TableParagraph"/>
              <w:spacing w:line="241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Podráždění </w:t>
            </w:r>
            <w:r>
              <w:rPr>
                <w:rFonts w:ascii="Calibri"/>
                <w:sz w:val="18"/>
              </w:rPr>
              <w:t>očí</w:t>
            </w:r>
            <w:r>
              <w:rPr>
                <w:rFonts w:ascii="Calibri"/>
                <w:sz w:val="18"/>
              </w:rPr>
              <w:t xml:space="preserve">, </w:t>
            </w:r>
            <w:r>
              <w:rPr>
                <w:rFonts w:ascii="Calibri"/>
                <w:sz w:val="18"/>
              </w:rPr>
              <w:t xml:space="preserve">kategorie </w:t>
            </w:r>
            <w:r>
              <w:rPr>
                <w:rFonts w:ascii="Calibri"/>
                <w:spacing w:val="-10"/>
                <w:sz w:val="18"/>
              </w:rPr>
              <w:t>2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1747"/>
        </w:trPr>
        <w:tc>
          <w:tcPr>
            <w:tcW w:w="3329" w:type="dxa"/>
          </w:tcPr>
          <w:p>
            <w:pPr>
              <w:pStyle w:val="TableParagraph"/>
              <w:ind w:left="107" w:right="954"/>
              <w:rPr>
                <w:sz w:val="17"/>
              </w:rPr>
            </w:pPr>
            <w:r>
              <w:rPr>
                <w:sz w:val="16"/>
              </w:rPr>
              <w:t xml:space="preserve">Methylchloroisothiazolinon </w:t>
            </w:r>
            <w:r>
              <w:rPr>
                <w:sz w:val="16"/>
              </w:rPr>
              <w:t xml:space="preserve">a </w:t>
            </w:r>
            <w:r>
              <w:rPr>
                <w:spacing w:val="-2"/>
                <w:sz w:val="16"/>
              </w:rPr>
              <w:t>methylisothiazolinon (PREZERVATIV)</w:t>
            </w:r>
          </w:p>
        </w:tc>
        <w:tc>
          <w:tcPr>
            <w:tcW w:w="1466" w:type="dxa"/>
          </w:tcPr>
          <w:p>
            <w:pPr>
              <w:pStyle w:val="TableParagraph"/>
              <w:spacing w:before="3"/>
              <w:ind w:left="105"/>
              <w:rPr>
                <w:sz w:val="17"/>
              </w:rPr>
            </w:pPr>
            <w:r>
              <w:rPr>
                <w:spacing w:val="-5"/>
                <w:sz w:val="16"/>
              </w:rPr>
              <w:t>220-239-6/</w:t>
            </w:r>
          </w:p>
          <w:p>
            <w:pPr>
              <w:pStyle w:val="TableParagraph"/>
              <w:spacing w:before="6"/>
              <w:ind w:left="105"/>
              <w:rPr>
                <w:sz w:val="17"/>
              </w:rPr>
            </w:pPr>
            <w:r>
              <w:rPr>
                <w:spacing w:val="-10"/>
                <w:sz w:val="16"/>
              </w:rPr>
              <w:t>26172-55-4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ind w:left="106"/>
              <w:rPr>
                <w:sz w:val="17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2926" w:type="dxa"/>
          </w:tcPr>
          <w:p>
            <w:pPr>
              <w:pStyle w:val="TableParagraph"/>
              <w:ind w:right="1149"/>
              <w:rPr>
                <w:sz w:val="17"/>
              </w:rPr>
            </w:pPr>
            <w:r>
              <w:rPr>
                <w:sz w:val="16"/>
              </w:rPr>
              <w:t xml:space="preserve">Akutní toxicita. 3 - H301 Acute Tox. 3 - H311 Acute Tox. 3 - H331 Skin </w:t>
            </w:r>
            <w:r>
              <w:rPr>
                <w:sz w:val="16"/>
              </w:rPr>
              <w:t xml:space="preserve">Corr. </w:t>
            </w:r>
            <w:r>
              <w:rPr>
                <w:sz w:val="16"/>
              </w:rPr>
              <w:t xml:space="preserve">1B </w:t>
            </w:r>
            <w:r>
              <w:rPr>
                <w:sz w:val="16"/>
              </w:rPr>
              <w:t xml:space="preserve">- </w:t>
            </w:r>
            <w:r>
              <w:rPr>
                <w:sz w:val="16"/>
              </w:rPr>
              <w:t xml:space="preserve">H314 Poškození očí. 1 - H318 Skin Sens. 1 - H317 Aquatic Acute 1 - </w:t>
            </w:r>
            <w:r>
              <w:rPr>
                <w:spacing w:val="-4"/>
                <w:sz w:val="16"/>
              </w:rPr>
              <w:t>H400</w:t>
            </w:r>
          </w:p>
          <w:p>
            <w:pPr>
              <w:pStyle w:val="TableParagraph"/>
              <w:spacing w:line="165" w:lineRule="exact"/>
              <w:rPr>
                <w:sz w:val="17"/>
              </w:rPr>
            </w:pPr>
            <w:r>
              <w:rPr>
                <w:sz w:val="16"/>
              </w:rPr>
              <w:t xml:space="preserve">Chronická toxicita pro </w:t>
            </w:r>
            <w:r>
              <w:rPr>
                <w:sz w:val="16"/>
              </w:rPr>
              <w:t xml:space="preserve">vodní prostředí </w:t>
            </w:r>
            <w:r>
              <w:rPr>
                <w:sz w:val="16"/>
              </w:rPr>
              <w:t xml:space="preserve">1 </w:t>
            </w:r>
            <w:r>
              <w:rPr>
                <w:sz w:val="16"/>
              </w:rPr>
              <w:t xml:space="preserve">- </w:t>
            </w:r>
            <w:r>
              <w:rPr>
                <w:spacing w:val="-4"/>
                <w:sz w:val="16"/>
              </w:rPr>
              <w:t>H410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206"/>
        </w:trPr>
        <w:tc>
          <w:tcPr>
            <w:tcW w:w="3329" w:type="dxa"/>
          </w:tcPr>
          <w:p>
            <w:pPr>
              <w:pStyle w:val="TableParagraph"/>
              <w:spacing w:line="185" w:lineRule="exact"/>
              <w:ind w:left="107"/>
              <w:rPr>
                <w:sz w:val="17"/>
              </w:rPr>
            </w:pPr>
            <w:r>
              <w:rPr>
                <w:spacing w:val="-2"/>
                <w:sz w:val="16"/>
              </w:rPr>
              <w:t>FRAGRANCE</w:t>
            </w:r>
          </w:p>
        </w:tc>
        <w:tc>
          <w:tcPr>
            <w:tcW w:w="1466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801" w:type="dxa"/>
          </w:tcPr>
          <w:p>
            <w:pPr>
              <w:pStyle w:val="TableParagraph"/>
              <w:spacing w:line="185" w:lineRule="exact"/>
              <w:ind w:left="108"/>
              <w:rPr>
                <w:sz w:val="17"/>
              </w:rPr>
            </w:pPr>
            <w:r>
              <w:rPr>
                <w:spacing w:val="-5"/>
                <w:sz w:val="16"/>
              </w:rPr>
              <w:t>0,1</w:t>
            </w:r>
          </w:p>
        </w:tc>
        <w:tc>
          <w:tcPr>
            <w:tcW w:w="2926" w:type="dxa"/>
          </w:tcPr>
          <w:p>
            <w:pPr>
              <w:pStyle w:val="TableParagraph"/>
              <w:spacing w:line="185" w:lineRule="exact"/>
              <w:ind w:left="104"/>
              <w:rPr>
                <w:sz w:val="17"/>
              </w:rPr>
            </w:pPr>
            <w:r>
              <w:rPr>
                <w:sz w:val="16"/>
              </w:rPr>
              <w:t xml:space="preserve">Není </w:t>
            </w:r>
            <w:r>
              <w:rPr>
                <w:spacing w:val="-2"/>
                <w:sz w:val="16"/>
              </w:rPr>
              <w:t>klasifikováno</w:t>
            </w:r>
          </w:p>
        </w:tc>
      </w:tr>
    </w:tbl>
    <w:p>
      <w:pPr>
        <w:pStyle w:val="BodyText"/>
        <w:ind w:left="0"/>
        <w:rPr>
          <w:b/>
          <w:sz w:val="17"/>
        </w:rPr>
      </w:pPr>
    </w:p>
    <w:p>
      <w:pPr>
        <w:pStyle w:val="BodyText"/>
        <w:spacing w:before="34"/>
        <w:ind w:left="0"/>
        <w:rPr>
          <w:b/>
          <w:sz w:val="17"/>
        </w:rPr>
      </w:pPr>
    </w:p>
    <w:p>
      <w:pPr>
        <w:pStyle w:val="BodyText"/>
      </w:pPr>
      <w:r>
        <w:rPr>
          <w:sz w:val="18"/>
        </w:rPr>
        <w:t xml:space="preserve">Úplné </w:t>
      </w:r>
      <w:r>
        <w:rPr>
          <w:sz w:val="18"/>
        </w:rPr>
        <w:t xml:space="preserve">znění </w:t>
      </w:r>
      <w:r>
        <w:rPr>
          <w:sz w:val="18"/>
        </w:rPr>
        <w:t xml:space="preserve">všech </w:t>
      </w:r>
      <w:r>
        <w:rPr>
          <w:sz w:val="18"/>
        </w:rPr>
        <w:t xml:space="preserve">standardních vět o </w:t>
      </w:r>
      <w:r>
        <w:rPr>
          <w:sz w:val="18"/>
        </w:rPr>
        <w:t xml:space="preserve">nebezpečnosti </w:t>
      </w:r>
      <w:r>
        <w:rPr>
          <w:sz w:val="18"/>
        </w:rPr>
        <w:t xml:space="preserve">je </w:t>
      </w:r>
      <w:r>
        <w:rPr>
          <w:sz w:val="18"/>
        </w:rPr>
        <w:t xml:space="preserve">uvedeno </w:t>
      </w:r>
      <w:r>
        <w:rPr>
          <w:sz w:val="18"/>
        </w:rPr>
        <w:t xml:space="preserve">v </w:t>
      </w:r>
      <w:r>
        <w:rPr>
          <w:sz w:val="18"/>
        </w:rPr>
        <w:t xml:space="preserve">oddíle </w:t>
      </w:r>
      <w:r>
        <w:rPr>
          <w:spacing w:val="-5"/>
          <w:sz w:val="18"/>
        </w:rPr>
        <w:t>16.</w:t>
      </w:r>
    </w:p>
    <w:p>
      <w:pPr>
        <w:pStyle w:val="BodyText"/>
        <w:spacing w:before="204"/>
        <w:ind w:left="0"/>
      </w:pPr>
      <w: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1168527</wp:posOffset>
                </wp:positionH>
                <wp:positionV relativeFrom="paragraph">
                  <wp:posOffset>294419</wp:posOffset>
                </wp:positionV>
                <wp:extent cx="5755640" cy="177165"/>
                <wp:effectExtent l="0" t="0" r="0" b="0"/>
                <wp:wrapTopAndBottom/>
                <wp:docPr id="13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4: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Opatření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první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pomoci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width:453.2pt;height:13.95pt;margin-top:23.18pt;margin-left:92.01pt;mso-position-horizontal-relative:page;mso-wrap-distance-left:0;mso-wrap-distance-right:0;position:absolute;z-index:-251649024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8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4: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Opatření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první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pomoci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ind w:left="0"/>
      </w:pPr>
    </w:p>
    <w:p>
      <w:pPr>
        <w:pStyle w:val="BodyText"/>
        <w:spacing w:before="29"/>
        <w:ind w:left="0"/>
      </w:pPr>
    </w:p>
    <w:p>
      <w:pPr>
        <w:pStyle w:val="ListParagraph"/>
        <w:numPr>
          <w:ilvl w:val="1"/>
          <w:numId w:val="11"/>
        </w:numPr>
        <w:tabs>
          <w:tab w:val="left" w:pos="1486"/>
        </w:tabs>
        <w:spacing w:before="0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Popis </w:t>
      </w:r>
      <w:r>
        <w:rPr>
          <w:spacing w:val="-2"/>
          <w:sz w:val="18"/>
        </w:rPr>
        <w:t xml:space="preserve">opatření </w:t>
      </w:r>
      <w:r>
        <w:rPr>
          <w:sz w:val="18"/>
        </w:rPr>
        <w:t xml:space="preserve">první </w:t>
      </w:r>
      <w:r>
        <w:rPr>
          <w:sz w:val="18"/>
        </w:rPr>
        <w:t>pomoci</w:t>
      </w:r>
    </w:p>
    <w:p>
      <w:pPr>
        <w:pStyle w:val="BodyText"/>
        <w:spacing w:before="220"/>
        <w:ind w:left="0"/>
      </w:pPr>
    </w:p>
    <w:p>
      <w:pPr>
        <w:tabs>
          <w:tab w:val="left" w:pos="3646"/>
        </w:tabs>
        <w:spacing w:before="0"/>
        <w:ind w:left="996" w:right="0" w:firstLine="0"/>
        <w:jc w:val="left"/>
        <w:rPr>
          <w:sz w:val="20"/>
        </w:rPr>
      </w:pPr>
      <w:r>
        <w:rPr>
          <w:b/>
          <w:w w:val="105"/>
          <w:sz w:val="18"/>
        </w:rPr>
        <w:t xml:space="preserve">Obecné </w:t>
      </w:r>
      <w:r>
        <w:rPr>
          <w:b/>
          <w:spacing w:val="-2"/>
          <w:w w:val="105"/>
          <w:sz w:val="18"/>
        </w:rPr>
        <w:t>informace</w:t>
      </w:r>
      <w:r>
        <w:rPr>
          <w:b/>
          <w:sz w:val="18"/>
        </w:rPr>
        <w:tab/>
      </w:r>
      <w:r>
        <w:rPr>
          <w:w w:val="105"/>
          <w:sz w:val="18"/>
        </w:rPr>
        <w:t xml:space="preserve">V případě </w:t>
      </w:r>
      <w:r>
        <w:rPr>
          <w:w w:val="105"/>
          <w:sz w:val="18"/>
        </w:rPr>
        <w:t xml:space="preserve">přetrvávajících </w:t>
      </w:r>
      <w:r>
        <w:rPr>
          <w:w w:val="105"/>
          <w:sz w:val="18"/>
        </w:rPr>
        <w:t xml:space="preserve">potíží </w:t>
      </w:r>
      <w:r>
        <w:rPr>
          <w:w w:val="105"/>
          <w:sz w:val="18"/>
        </w:rPr>
        <w:t xml:space="preserve">vyhledejte </w:t>
      </w:r>
      <w:r>
        <w:rPr>
          <w:w w:val="105"/>
          <w:sz w:val="18"/>
        </w:rPr>
        <w:t xml:space="preserve">lékařskou </w:t>
      </w:r>
      <w:r>
        <w:rPr>
          <w:w w:val="105"/>
          <w:sz w:val="18"/>
        </w:rPr>
        <w:t xml:space="preserve">pomoc. </w:t>
      </w:r>
      <w:r>
        <w:rPr>
          <w:w w:val="105"/>
          <w:sz w:val="18"/>
        </w:rPr>
        <w:t xml:space="preserve">Ukažte </w:t>
      </w:r>
      <w:r>
        <w:rPr>
          <w:spacing w:val="-4"/>
          <w:w w:val="105"/>
          <w:sz w:val="18"/>
        </w:rPr>
        <w:t>tento</w:t>
      </w:r>
    </w:p>
    <w:p>
      <w:pPr>
        <w:pStyle w:val="BodyText"/>
        <w:spacing w:before="46"/>
        <w:ind w:left="3656"/>
      </w:pPr>
      <w:r>
        <w:rPr>
          <w:w w:val="105"/>
          <w:sz w:val="18"/>
        </w:rPr>
        <w:t xml:space="preserve">Bezpečnostní </w:t>
      </w:r>
      <w:r>
        <w:rPr>
          <w:w w:val="105"/>
          <w:sz w:val="18"/>
        </w:rPr>
        <w:t xml:space="preserve">list </w:t>
      </w:r>
      <w:r>
        <w:rPr>
          <w:spacing w:val="-2"/>
          <w:w w:val="105"/>
          <w:sz w:val="18"/>
        </w:rPr>
        <w:t>zdravotnickému personálu.</w:t>
      </w:r>
    </w:p>
    <w:p>
      <w:pPr>
        <w:pStyle w:val="BodyText"/>
        <w:tabs>
          <w:tab w:val="left" w:pos="3653"/>
        </w:tabs>
        <w:spacing w:before="176"/>
        <w:ind w:left="1282"/>
      </w:pPr>
      <w:r>
        <w:rPr>
          <w:b/>
          <w:spacing w:val="-2"/>
          <w:sz w:val="18"/>
        </w:rPr>
        <w:t>Inhalace</w:t>
      </w:r>
      <w:r>
        <w:rPr>
          <w:b/>
          <w:sz w:val="18"/>
        </w:rPr>
        <w:tab/>
      </w:r>
      <w:r>
        <w:rPr>
          <w:sz w:val="18"/>
        </w:rPr>
        <w:t xml:space="preserve">Nebyly </w:t>
      </w:r>
      <w:r>
        <w:rPr>
          <w:spacing w:val="-14"/>
          <w:sz w:val="18"/>
        </w:rPr>
        <w:t>hlášeny</w:t>
      </w:r>
      <w:r>
        <w:rPr>
          <w:sz w:val="18"/>
        </w:rPr>
        <w:t xml:space="preserve"> žádné </w:t>
      </w:r>
      <w:r>
        <w:rPr>
          <w:sz w:val="18"/>
        </w:rPr>
        <w:t>dopady</w:t>
      </w:r>
      <w:r>
        <w:rPr>
          <w:sz w:val="18"/>
        </w:rPr>
        <w:t xml:space="preserve">. </w:t>
      </w:r>
      <w:r>
        <w:rPr>
          <w:sz w:val="18"/>
        </w:rPr>
        <w:t xml:space="preserve">Pokud se </w:t>
      </w:r>
      <w:r>
        <w:rPr>
          <w:sz w:val="18"/>
        </w:rPr>
        <w:t xml:space="preserve">mu </w:t>
      </w:r>
      <w:r>
        <w:rPr>
          <w:sz w:val="18"/>
        </w:rPr>
        <w:t xml:space="preserve">udělá </w:t>
      </w:r>
      <w:r>
        <w:rPr>
          <w:sz w:val="18"/>
        </w:rPr>
        <w:t>špatně</w:t>
      </w:r>
      <w:r>
        <w:rPr>
          <w:sz w:val="18"/>
        </w:rPr>
        <w:t xml:space="preserve">, odstraňte </w:t>
      </w:r>
      <w:r>
        <w:rPr>
          <w:sz w:val="18"/>
        </w:rPr>
        <w:t xml:space="preserve">ho </w:t>
      </w:r>
      <w:r>
        <w:rPr>
          <w:spacing w:val="-5"/>
          <w:sz w:val="18"/>
        </w:rPr>
        <w:t>do</w:t>
      </w:r>
    </w:p>
    <w:p>
      <w:pPr>
        <w:pStyle w:val="BodyText"/>
        <w:spacing w:before="36" w:line="278" w:lineRule="auto"/>
        <w:ind w:left="3656" w:right="1992"/>
      </w:pPr>
      <w:r>
        <w:rPr>
          <w:sz w:val="18"/>
        </w:rPr>
        <w:t xml:space="preserve">čerstvý </w:t>
      </w:r>
      <w:r>
        <w:rPr>
          <w:sz w:val="18"/>
        </w:rPr>
        <w:t xml:space="preserve">vzduch. </w:t>
      </w:r>
      <w:r>
        <w:rPr>
          <w:sz w:val="18"/>
        </w:rPr>
        <w:t xml:space="preserve">Pokud </w:t>
      </w:r>
      <w:r>
        <w:rPr>
          <w:sz w:val="18"/>
        </w:rPr>
        <w:t xml:space="preserve">pacient </w:t>
      </w:r>
      <w:r>
        <w:rPr>
          <w:sz w:val="18"/>
        </w:rPr>
        <w:t xml:space="preserve">ztratí </w:t>
      </w:r>
      <w:r>
        <w:rPr>
          <w:sz w:val="18"/>
        </w:rPr>
        <w:t>vědomí</w:t>
      </w:r>
      <w:r>
        <w:rPr>
          <w:sz w:val="18"/>
        </w:rPr>
        <w:t xml:space="preserve">, </w:t>
      </w:r>
      <w:r>
        <w:rPr>
          <w:sz w:val="18"/>
        </w:rPr>
        <w:t xml:space="preserve">přesuňte </w:t>
      </w:r>
      <w:r>
        <w:rPr>
          <w:sz w:val="18"/>
        </w:rPr>
        <w:t>ho do stabilní boční polohy a přeneste ho.</w:t>
      </w:r>
    </w:p>
    <w:p>
      <w:pPr>
        <w:pStyle w:val="BodyText"/>
        <w:tabs>
          <w:tab w:val="left" w:pos="3653"/>
        </w:tabs>
        <w:spacing w:before="134"/>
        <w:ind w:left="1282"/>
      </w:pPr>
      <w:r>
        <w:rPr>
          <w:b/>
          <w:spacing w:val="-2"/>
          <w:w w:val="105"/>
          <w:sz w:val="18"/>
        </w:rPr>
        <w:t>Požití</w:t>
      </w:r>
      <w:r>
        <w:rPr>
          <w:b/>
          <w:sz w:val="18"/>
        </w:rPr>
        <w:tab/>
      </w:r>
      <w:r>
        <w:rPr>
          <w:w w:val="105"/>
          <w:sz w:val="18"/>
        </w:rPr>
        <w:t xml:space="preserve">Důkladně </w:t>
      </w:r>
      <w:r>
        <w:rPr>
          <w:w w:val="105"/>
          <w:sz w:val="18"/>
        </w:rPr>
        <w:t xml:space="preserve">vypláchněte </w:t>
      </w:r>
      <w:r>
        <w:rPr>
          <w:w w:val="105"/>
          <w:sz w:val="18"/>
        </w:rPr>
        <w:t xml:space="preserve">ústa </w:t>
      </w:r>
      <w:r>
        <w:rPr>
          <w:w w:val="105"/>
          <w:sz w:val="18"/>
        </w:rPr>
        <w:t xml:space="preserve">vodou. </w:t>
      </w:r>
      <w:r>
        <w:rPr>
          <w:w w:val="105"/>
          <w:sz w:val="18"/>
        </w:rPr>
        <w:t xml:space="preserve">V případě </w:t>
      </w:r>
      <w:r>
        <w:rPr>
          <w:w w:val="105"/>
          <w:sz w:val="18"/>
        </w:rPr>
        <w:t xml:space="preserve">pochybností </w:t>
      </w:r>
      <w:r>
        <w:rPr>
          <w:spacing w:val="-5"/>
          <w:w w:val="105"/>
          <w:sz w:val="18"/>
        </w:rPr>
        <w:t>vyhledejte</w:t>
      </w:r>
    </w:p>
    <w:p>
      <w:pPr>
        <w:pStyle w:val="BodyText"/>
        <w:spacing w:after="0"/>
        <w:sectPr>
          <w:headerReference w:type="default" r:id="rId10"/>
          <w:footerReference w:type="default" r:id="rId11"/>
          <w:pgSz w:w="12240" w:h="15840"/>
          <w:pgMar w:top="1560" w:right="360" w:bottom="1240" w:left="720" w:header="253" w:footer="1044"/>
          <w:pgNumType w:start="2"/>
          <w:cols w:space="708"/>
        </w:sectPr>
      </w:pPr>
    </w:p>
    <w:p>
      <w:pPr>
        <w:pStyle w:val="BodyText"/>
        <w:spacing w:line="285" w:lineRule="auto"/>
        <w:ind w:left="3656" w:right="2617"/>
      </w:pPr>
      <w:r>
        <w:rPr>
          <w:w w:val="105"/>
          <w:sz w:val="18"/>
        </w:rPr>
        <w:t xml:space="preserve">neprodleně věnovat lékařskou pozornost. Nevyvolávejte zvracení, pokud to není pod vedením </w:t>
      </w:r>
      <w:r>
        <w:rPr>
          <w:w w:val="105"/>
          <w:sz w:val="18"/>
        </w:rPr>
        <w:t xml:space="preserve">zdravotnického </w:t>
      </w:r>
      <w:r>
        <w:rPr>
          <w:w w:val="105"/>
          <w:sz w:val="18"/>
        </w:rPr>
        <w:t>personálu.</w:t>
      </w:r>
    </w:p>
    <w:p>
      <w:pPr>
        <w:pStyle w:val="BodyText"/>
        <w:tabs>
          <w:tab w:val="left" w:pos="3653"/>
        </w:tabs>
        <w:spacing w:before="119" w:line="285" w:lineRule="auto"/>
        <w:ind w:left="3656" w:right="1680" w:hanging="2375"/>
      </w:pPr>
      <w:r>
        <w:rPr>
          <w:b/>
          <w:w w:val="105"/>
          <w:sz w:val="18"/>
        </w:rPr>
        <w:t>Styk s kůží</w:t>
      </w:r>
      <w:r>
        <w:rPr>
          <w:b/>
          <w:sz w:val="18"/>
        </w:rPr>
        <w:tab/>
      </w:r>
      <w:r>
        <w:rPr>
          <w:w w:val="105"/>
          <w:sz w:val="18"/>
        </w:rPr>
        <w:t xml:space="preserve">Odstraňte kontaminovaný oděv a kůži důkladně opláchněte vodou. Kontaminovaný oděv před dalším použitím vyperte. </w:t>
      </w:r>
      <w:r>
        <w:rPr>
          <w:w w:val="105"/>
          <w:sz w:val="18"/>
        </w:rPr>
        <w:t xml:space="preserve">Při výskytu </w:t>
      </w:r>
      <w:r>
        <w:rPr>
          <w:w w:val="105"/>
          <w:sz w:val="18"/>
        </w:rPr>
        <w:t xml:space="preserve">příznaků </w:t>
      </w:r>
      <w:r>
        <w:rPr>
          <w:w w:val="105"/>
          <w:sz w:val="18"/>
        </w:rPr>
        <w:t xml:space="preserve">po aplikaci </w:t>
      </w:r>
      <w:r>
        <w:rPr>
          <w:w w:val="105"/>
          <w:sz w:val="18"/>
        </w:rPr>
        <w:t xml:space="preserve">okamžitě </w:t>
      </w:r>
      <w:r>
        <w:rPr>
          <w:w w:val="105"/>
          <w:sz w:val="18"/>
        </w:rPr>
        <w:t>vyhledejte lékařskou pomoc</w:t>
      </w:r>
    </w:p>
    <w:p>
      <w:pPr>
        <w:pStyle w:val="BodyText"/>
        <w:spacing w:before="3"/>
        <w:ind w:left="3656"/>
      </w:pPr>
      <w:r>
        <w:rPr>
          <w:w w:val="105"/>
          <w:sz w:val="18"/>
        </w:rPr>
        <w:t xml:space="preserve">mytí. </w:t>
      </w:r>
      <w:r>
        <w:rPr>
          <w:w w:val="105"/>
          <w:sz w:val="18"/>
        </w:rPr>
        <w:t xml:space="preserve">V případě </w:t>
      </w:r>
      <w:r>
        <w:rPr>
          <w:w w:val="105"/>
          <w:sz w:val="18"/>
        </w:rPr>
        <w:t xml:space="preserve">pochybností </w:t>
      </w:r>
      <w:r>
        <w:rPr>
          <w:spacing w:val="-2"/>
          <w:w w:val="105"/>
          <w:sz w:val="18"/>
        </w:rPr>
        <w:t xml:space="preserve">neprodleně </w:t>
      </w:r>
      <w:r>
        <w:rPr>
          <w:w w:val="105"/>
          <w:sz w:val="18"/>
        </w:rPr>
        <w:t xml:space="preserve">vyhledejte </w:t>
      </w:r>
      <w:r>
        <w:rPr>
          <w:w w:val="105"/>
          <w:sz w:val="18"/>
        </w:rPr>
        <w:t xml:space="preserve">lékařskou </w:t>
      </w:r>
      <w:r>
        <w:rPr>
          <w:w w:val="105"/>
          <w:sz w:val="18"/>
        </w:rPr>
        <w:t>pomoc.</w:t>
      </w:r>
    </w:p>
    <w:p>
      <w:pPr>
        <w:pStyle w:val="BodyText"/>
        <w:tabs>
          <w:tab w:val="left" w:pos="3653"/>
        </w:tabs>
        <w:spacing w:before="173"/>
        <w:ind w:left="1282"/>
      </w:pPr>
      <w:r>
        <w:rPr>
          <w:b/>
          <w:sz w:val="18"/>
        </w:rPr>
        <w:t xml:space="preserve">Oční </w:t>
      </w:r>
      <w:r>
        <w:rPr>
          <w:b/>
          <w:spacing w:val="-2"/>
          <w:sz w:val="18"/>
        </w:rPr>
        <w:t>kontakt</w:t>
      </w:r>
      <w:r>
        <w:rPr>
          <w:b/>
          <w:sz w:val="18"/>
        </w:rPr>
        <w:tab/>
      </w:r>
      <w:r>
        <w:rPr>
          <w:sz w:val="18"/>
        </w:rPr>
        <w:t xml:space="preserve">Odstraňte </w:t>
      </w:r>
      <w:r>
        <w:rPr>
          <w:sz w:val="18"/>
        </w:rPr>
        <w:t xml:space="preserve">kontaktní </w:t>
      </w:r>
      <w:r>
        <w:rPr>
          <w:sz w:val="18"/>
        </w:rPr>
        <w:t xml:space="preserve">čočky </w:t>
      </w:r>
      <w:r>
        <w:rPr>
          <w:sz w:val="18"/>
        </w:rPr>
        <w:t xml:space="preserve">a </w:t>
      </w:r>
      <w:r>
        <w:rPr>
          <w:sz w:val="18"/>
        </w:rPr>
        <w:t xml:space="preserve">otevřete </w:t>
      </w:r>
      <w:r>
        <w:rPr>
          <w:sz w:val="18"/>
        </w:rPr>
        <w:t xml:space="preserve">víčka </w:t>
      </w:r>
      <w:r>
        <w:rPr>
          <w:spacing w:val="2"/>
          <w:sz w:val="18"/>
        </w:rPr>
        <w:t>doširoka</w:t>
      </w:r>
      <w:r>
        <w:rPr>
          <w:spacing w:val="-2"/>
          <w:sz w:val="18"/>
        </w:rPr>
        <w:t>.</w:t>
      </w:r>
    </w:p>
    <w:p>
      <w:pPr>
        <w:pStyle w:val="BodyText"/>
        <w:spacing w:before="43" w:line="283" w:lineRule="auto"/>
        <w:ind w:left="3656" w:right="1992"/>
      </w:pPr>
      <w:r>
        <w:rPr>
          <w:sz w:val="18"/>
        </w:rPr>
        <w:t xml:space="preserve">Pokračujte ve výplachu po dobu nejméně 15 minut a vyhledejte lékařskou </w:t>
      </w:r>
      <w:r>
        <w:rPr>
          <w:spacing w:val="-2"/>
          <w:sz w:val="18"/>
        </w:rPr>
        <w:t>pomoc.</w:t>
      </w:r>
    </w:p>
    <w:p>
      <w:pPr>
        <w:tabs>
          <w:tab w:val="left" w:pos="3792"/>
        </w:tabs>
        <w:spacing w:before="3" w:line="268" w:lineRule="auto"/>
        <w:ind w:left="1130" w:right="3166" w:firstLine="0"/>
        <w:jc w:val="left"/>
        <w:rPr>
          <w:sz w:val="20"/>
        </w:rPr>
      </w:pPr>
      <w:r>
        <w:rPr>
          <w:b/>
          <w:w w:val="105"/>
          <w:sz w:val="18"/>
        </w:rPr>
        <w:t>Ochrana osob poskytujících první pomoc</w:t>
      </w:r>
      <w:r>
        <w:rPr>
          <w:b/>
          <w:sz w:val="18"/>
        </w:rPr>
        <w:tab/>
      </w:r>
      <w:r>
        <w:rPr>
          <w:w w:val="105"/>
          <w:sz w:val="18"/>
        </w:rPr>
        <w:t>Pracovníci první pomoci by měli během záchranné akce nosit vhodné ochranné prostředky.</w:t>
      </w:r>
    </w:p>
    <w:p>
      <w:pPr>
        <w:pStyle w:val="ListParagraph"/>
        <w:numPr>
          <w:ilvl w:val="1"/>
          <w:numId w:val="11"/>
        </w:numPr>
        <w:tabs>
          <w:tab w:val="left" w:pos="1486"/>
        </w:tabs>
        <w:spacing w:before="145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Nejdůležitější </w:t>
      </w:r>
      <w:r>
        <w:rPr>
          <w:sz w:val="18"/>
        </w:rPr>
        <w:t xml:space="preserve">příznaky </w:t>
      </w:r>
      <w:r>
        <w:rPr>
          <w:sz w:val="18"/>
        </w:rPr>
        <w:t xml:space="preserve">a </w:t>
      </w:r>
      <w:r>
        <w:rPr>
          <w:sz w:val="18"/>
        </w:rPr>
        <w:t xml:space="preserve">účinky, </w:t>
      </w:r>
      <w:r>
        <w:rPr>
          <w:sz w:val="18"/>
        </w:rPr>
        <w:t xml:space="preserve">akutní </w:t>
      </w:r>
      <w:r>
        <w:rPr>
          <w:sz w:val="18"/>
        </w:rPr>
        <w:t xml:space="preserve">i </w:t>
      </w:r>
      <w:r>
        <w:rPr>
          <w:spacing w:val="-2"/>
          <w:sz w:val="18"/>
        </w:rPr>
        <w:t>opožděné</w:t>
      </w:r>
    </w:p>
    <w:p>
      <w:pPr>
        <w:pStyle w:val="BodyText"/>
        <w:tabs>
          <w:tab w:val="left" w:pos="3634"/>
        </w:tabs>
        <w:spacing w:before="166" w:line="268" w:lineRule="auto"/>
        <w:ind w:right="2155"/>
      </w:pPr>
      <w:r>
        <w:rPr>
          <w:sz w:val="18"/>
        </w:rPr>
        <w:t>Obecné informace</w:t>
      </w:r>
      <w:r>
        <w:rPr>
          <w:sz w:val="18"/>
        </w:rPr>
        <w:tab/>
      </w:r>
      <w:r>
        <w:rPr>
          <w:sz w:val="18"/>
        </w:rPr>
        <w:t>Závažnost popsaných příznaků se liší v závislosti nakoncentraci a délce expozice.</w:t>
      </w:r>
    </w:p>
    <w:p>
      <w:pPr>
        <w:pStyle w:val="BodyText"/>
        <w:tabs>
          <w:tab w:val="left" w:pos="3476"/>
        </w:tabs>
        <w:spacing w:before="150"/>
      </w:pPr>
      <w:r>
        <w:rPr>
          <w:spacing w:val="-2"/>
          <w:sz w:val="18"/>
        </w:rPr>
        <w:t>Inhalace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22"/>
          <w:sz w:val="18"/>
        </w:rPr>
        <w:t>známy</w:t>
      </w:r>
      <w:r>
        <w:rPr>
          <w:sz w:val="18"/>
        </w:rPr>
        <w:t xml:space="preserve"> žádné </w:t>
      </w:r>
      <w:r>
        <w:rPr>
          <w:sz w:val="18"/>
        </w:rPr>
        <w:t xml:space="preserve">specifické </w:t>
      </w:r>
      <w:r>
        <w:rPr>
          <w:sz w:val="18"/>
        </w:rPr>
        <w:t>příznaky</w:t>
      </w:r>
      <w:r>
        <w:rPr>
          <w:spacing w:val="-2"/>
          <w:sz w:val="18"/>
        </w:rPr>
        <w:t>.</w:t>
      </w:r>
    </w:p>
    <w:p>
      <w:pPr>
        <w:pStyle w:val="BodyText"/>
        <w:tabs>
          <w:tab w:val="left" w:pos="3447"/>
        </w:tabs>
        <w:spacing w:before="176"/>
      </w:pPr>
      <w:r>
        <w:rPr>
          <w:spacing w:val="-2"/>
          <w:sz w:val="18"/>
        </w:rPr>
        <w:t>Požití</w:t>
      </w:r>
      <w:r>
        <w:rPr>
          <w:sz w:val="18"/>
        </w:rPr>
        <w:tab/>
      </w:r>
      <w:r>
        <w:rPr>
          <w:sz w:val="18"/>
        </w:rPr>
        <w:t xml:space="preserve">Může </w:t>
      </w:r>
      <w:r>
        <w:rPr>
          <w:sz w:val="18"/>
        </w:rPr>
        <w:t xml:space="preserve">způsobit </w:t>
      </w:r>
      <w:r>
        <w:rPr>
          <w:spacing w:val="-2"/>
          <w:sz w:val="18"/>
        </w:rPr>
        <w:t>podráždění.</w:t>
      </w:r>
    </w:p>
    <w:p>
      <w:pPr>
        <w:pStyle w:val="BodyText"/>
        <w:tabs>
          <w:tab w:val="left" w:pos="3461"/>
          <w:tab w:val="left" w:pos="3509"/>
        </w:tabs>
        <w:spacing w:before="180" w:line="415" w:lineRule="auto"/>
        <w:ind w:right="3100"/>
      </w:pPr>
      <w:r>
        <w:rPr>
          <w:sz w:val="18"/>
        </w:rPr>
        <w:t>Styk s kůží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 xml:space="preserve">Dlouhodobá </w:t>
      </w:r>
      <w:r>
        <w:rPr>
          <w:sz w:val="18"/>
        </w:rPr>
        <w:t xml:space="preserve">nebo </w:t>
      </w:r>
      <w:r>
        <w:rPr>
          <w:sz w:val="18"/>
        </w:rPr>
        <w:t xml:space="preserve">opakovaná </w:t>
      </w:r>
      <w:r>
        <w:rPr>
          <w:sz w:val="18"/>
        </w:rPr>
        <w:t xml:space="preserve">expozice </w:t>
      </w:r>
      <w:r>
        <w:rPr>
          <w:sz w:val="18"/>
        </w:rPr>
        <w:t xml:space="preserve">může </w:t>
      </w:r>
      <w:r>
        <w:rPr>
          <w:sz w:val="18"/>
        </w:rPr>
        <w:t xml:space="preserve">způsobit </w:t>
      </w:r>
      <w:r>
        <w:rPr>
          <w:sz w:val="18"/>
        </w:rPr>
        <w:t>vážné podrážděníKontakt s očima</w:t>
      </w:r>
      <w:r>
        <w:rPr>
          <w:sz w:val="18"/>
        </w:rPr>
        <w:tab/>
      </w:r>
      <w:r>
        <w:rPr>
          <w:sz w:val="18"/>
        </w:rPr>
        <w:t>Může způsobit podráždění a zarudnutí a bolest.</w:t>
      </w:r>
    </w:p>
    <w:p>
      <w:pPr>
        <w:pStyle w:val="ListParagraph"/>
        <w:numPr>
          <w:ilvl w:val="1"/>
          <w:numId w:val="11"/>
        </w:numPr>
        <w:tabs>
          <w:tab w:val="left" w:pos="1488"/>
        </w:tabs>
        <w:spacing w:before="3" w:after="0" w:line="393" w:lineRule="auto"/>
        <w:ind w:left="1130" w:right="3515" w:firstLine="0"/>
        <w:jc w:val="left"/>
        <w:rPr>
          <w:sz w:val="20"/>
        </w:rPr>
      </w:pPr>
      <w:r>
        <w:rPr>
          <w:sz w:val="18"/>
        </w:rPr>
        <w:t xml:space="preserve">Indikace okamžité lékařské péče a zvláštního ošetření </w:t>
      </w:r>
      <w:r>
        <w:rPr>
          <w:sz w:val="18"/>
        </w:rPr>
        <w:t xml:space="preserve">Poznámky pro lékaře </w:t>
      </w:r>
      <w:r>
        <w:rPr>
          <w:sz w:val="18"/>
        </w:rPr>
        <w:t>Ošetřujte symptomaticky.</w:t>
      </w:r>
    </w:p>
    <w:p>
      <w:pPr>
        <w:tabs>
          <w:tab w:val="left" w:pos="3653"/>
        </w:tabs>
        <w:spacing w:before="20"/>
        <w:ind w:left="1130" w:right="0" w:firstLine="0"/>
        <w:jc w:val="left"/>
        <w:rPr>
          <w:sz w:val="20"/>
        </w:rPr>
      </w:pPr>
      <w:r>
        <w:rPr>
          <w:b/>
          <w:w w:val="90"/>
          <w:sz w:val="18"/>
        </w:rPr>
        <w:t xml:space="preserve">Specifická </w:t>
      </w:r>
      <w:r>
        <w:rPr>
          <w:b/>
          <w:spacing w:val="-2"/>
          <w:sz w:val="18"/>
        </w:rPr>
        <w:t>ošetření</w:t>
      </w:r>
      <w:r>
        <w:rPr>
          <w:b/>
          <w:sz w:val="18"/>
        </w:rPr>
        <w:tab/>
      </w:r>
      <w:r>
        <w:rPr>
          <w:sz w:val="18"/>
        </w:rPr>
        <w:t>Nebyla</w:t>
      </w:r>
      <w:r>
        <w:rPr>
          <w:sz w:val="18"/>
        </w:rPr>
        <w:t xml:space="preserve"> </w:t>
      </w:r>
      <w:r>
        <w:rPr>
          <w:sz w:val="18"/>
        </w:rPr>
        <w:t>nabídnuta</w:t>
      </w:r>
      <w:r>
        <w:rPr>
          <w:sz w:val="18"/>
        </w:rPr>
        <w:t xml:space="preserve"> žádná </w:t>
      </w:r>
      <w:r>
        <w:rPr>
          <w:sz w:val="18"/>
        </w:rPr>
        <w:t xml:space="preserve">specifická </w:t>
      </w:r>
      <w:r>
        <w:rPr>
          <w:sz w:val="18"/>
        </w:rPr>
        <w:t>léčba</w:t>
      </w:r>
      <w:r>
        <w:rPr>
          <w:sz w:val="18"/>
        </w:rPr>
        <w:t xml:space="preserve">. </w:t>
      </w:r>
      <w:r>
        <w:rPr>
          <w:sz w:val="18"/>
        </w:rPr>
        <w:t xml:space="preserve">Léčba </w:t>
      </w:r>
      <w:r>
        <w:rPr>
          <w:spacing w:val="-2"/>
          <w:sz w:val="18"/>
        </w:rPr>
        <w:t>je symptomatická.</w:t>
      </w:r>
    </w:p>
    <w:p>
      <w:pPr>
        <w:pStyle w:val="BodyText"/>
        <w:spacing w:before="205"/>
        <w:ind w:left="0"/>
      </w:pPr>
      <w: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1031239</wp:posOffset>
                </wp:positionH>
                <wp:positionV relativeFrom="paragraph">
                  <wp:posOffset>294732</wp:posOffset>
                </wp:positionV>
                <wp:extent cx="5755640" cy="177165"/>
                <wp:effectExtent l="0" t="0" r="0" b="0"/>
                <wp:wrapTopAndBottom/>
                <wp:docPr id="14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5: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Protipožární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opatření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width:453.2pt;height:13.95pt;margin-top:23.21pt;margin-left:81.2pt;mso-position-horizontal-relative:page;mso-wrap-distance-left:0;mso-wrap-distance-right:0;position:absolute;z-index:-251646976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9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5: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Protipožární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opatření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79"/>
        <w:ind w:left="0"/>
      </w:pPr>
    </w:p>
    <w:p>
      <w:pPr>
        <w:pStyle w:val="ListParagraph"/>
        <w:numPr>
          <w:ilvl w:val="1"/>
          <w:numId w:val="10"/>
        </w:numPr>
        <w:tabs>
          <w:tab w:val="left" w:pos="1486"/>
        </w:tabs>
        <w:spacing w:before="0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Hasicí </w:t>
      </w:r>
      <w:r>
        <w:rPr>
          <w:spacing w:val="-4"/>
          <w:sz w:val="18"/>
        </w:rPr>
        <w:t>média</w:t>
      </w:r>
    </w:p>
    <w:p>
      <w:pPr>
        <w:spacing w:before="167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Vhodná </w:t>
      </w:r>
      <w:r>
        <w:rPr>
          <w:i/>
          <w:sz w:val="18"/>
        </w:rPr>
        <w:t xml:space="preserve">hasicí </w:t>
      </w:r>
      <w:r>
        <w:rPr>
          <w:i/>
          <w:sz w:val="18"/>
        </w:rPr>
        <w:t xml:space="preserve">média </w:t>
      </w:r>
      <w:r>
        <w:rPr>
          <w:i/>
          <w:spacing w:val="-10"/>
          <w:sz w:val="18"/>
        </w:rPr>
        <w:t>:</w:t>
      </w:r>
    </w:p>
    <w:p>
      <w:pPr>
        <w:pStyle w:val="BodyText"/>
        <w:spacing w:before="180" w:line="415" w:lineRule="auto"/>
        <w:ind w:right="2617" w:firstLine="45"/>
        <w:rPr>
          <w:i/>
        </w:rPr>
      </w:pPr>
      <w:r>
        <w:rPr>
          <w:sz w:val="18"/>
        </w:rPr>
        <w:t xml:space="preserve">Výrobek není hořlavý. Použijte hasicí prostředky vhodné pro okolní požár. </w:t>
      </w:r>
      <w:r>
        <w:rPr>
          <w:spacing w:val="40"/>
          <w:sz w:val="18"/>
        </w:rPr>
        <w:t xml:space="preserve">K </w:t>
      </w:r>
      <w:r>
        <w:rPr>
          <w:sz w:val="18"/>
        </w:rPr>
        <w:t xml:space="preserve">hašení </w:t>
      </w:r>
      <w:r>
        <w:rPr>
          <w:sz w:val="18"/>
        </w:rPr>
        <w:t>použijte pěnu, oxid uhličitý</w:t>
      </w:r>
      <w:r>
        <w:rPr>
          <w:sz w:val="18"/>
        </w:rPr>
        <w:t>, suchý prášek nebo vodní mlhu</w:t>
      </w:r>
      <w:r>
        <w:rPr>
          <w:sz w:val="18"/>
        </w:rPr>
        <w:t xml:space="preserve">. </w:t>
      </w:r>
      <w:r>
        <w:rPr>
          <w:i/>
          <w:sz w:val="18"/>
        </w:rPr>
        <w:t>Nevhodná hasicí média:</w:t>
      </w:r>
    </w:p>
    <w:p>
      <w:pPr>
        <w:pStyle w:val="BodyText"/>
        <w:spacing w:before="77"/>
      </w:pPr>
      <w:r>
        <w:rPr>
          <w:sz w:val="18"/>
        </w:rPr>
        <w:t xml:space="preserve">Nepoužívejte </w:t>
      </w:r>
      <w:r>
        <w:rPr>
          <w:sz w:val="18"/>
        </w:rPr>
        <w:t xml:space="preserve">jako </w:t>
      </w:r>
      <w:r>
        <w:rPr>
          <w:sz w:val="18"/>
        </w:rPr>
        <w:t xml:space="preserve">hasicí přístroj </w:t>
      </w:r>
      <w:r>
        <w:rPr>
          <w:sz w:val="18"/>
        </w:rPr>
        <w:t xml:space="preserve">proud </w:t>
      </w:r>
      <w:r>
        <w:rPr>
          <w:sz w:val="18"/>
        </w:rPr>
        <w:t xml:space="preserve">vody, </w:t>
      </w:r>
      <w:r>
        <w:rPr>
          <w:sz w:val="18"/>
        </w:rPr>
        <w:t xml:space="preserve">protože by došlo k </w:t>
      </w:r>
      <w:r>
        <w:rPr>
          <w:sz w:val="18"/>
        </w:rPr>
        <w:t xml:space="preserve">rozšíření </w:t>
      </w:r>
      <w:r>
        <w:rPr>
          <w:spacing w:val="-2"/>
          <w:sz w:val="18"/>
        </w:rPr>
        <w:t>požáru.</w:t>
      </w:r>
    </w:p>
    <w:p>
      <w:pPr>
        <w:pStyle w:val="ListParagraph"/>
        <w:numPr>
          <w:ilvl w:val="1"/>
          <w:numId w:val="10"/>
        </w:numPr>
        <w:tabs>
          <w:tab w:val="left" w:pos="1486"/>
        </w:tabs>
        <w:spacing w:before="170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Zvláštní </w:t>
      </w:r>
      <w:r>
        <w:rPr>
          <w:sz w:val="18"/>
        </w:rPr>
        <w:t xml:space="preserve">nebezpečnost </w:t>
      </w:r>
      <w:r>
        <w:rPr>
          <w:sz w:val="18"/>
        </w:rPr>
        <w:t xml:space="preserve">látky </w:t>
      </w:r>
      <w:r>
        <w:rPr>
          <w:sz w:val="18"/>
        </w:rPr>
        <w:t xml:space="preserve">nebo </w:t>
      </w:r>
      <w:r>
        <w:rPr>
          <w:spacing w:val="-2"/>
          <w:sz w:val="18"/>
        </w:rPr>
        <w:t>směsi</w:t>
      </w:r>
    </w:p>
    <w:p>
      <w:pPr>
        <w:spacing w:before="167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Nebezpečné </w:t>
      </w:r>
      <w:r>
        <w:rPr>
          <w:i/>
          <w:sz w:val="18"/>
        </w:rPr>
        <w:t xml:space="preserve">produkty </w:t>
      </w:r>
      <w:r>
        <w:rPr>
          <w:i/>
          <w:sz w:val="18"/>
        </w:rPr>
        <w:t xml:space="preserve">hoření </w:t>
      </w:r>
      <w:r>
        <w:rPr>
          <w:i/>
          <w:spacing w:val="-10"/>
          <w:sz w:val="18"/>
        </w:rPr>
        <w:t>:</w:t>
      </w:r>
    </w:p>
    <w:p>
      <w:pPr>
        <w:pStyle w:val="BodyText"/>
        <w:spacing w:before="7" w:line="247" w:lineRule="auto"/>
        <w:ind w:right="2617"/>
      </w:pPr>
      <w:r>
        <w:rPr>
          <w:sz w:val="18"/>
        </w:rPr>
        <w:t xml:space="preserve">Produkty tepelného rozkladu nebo hoření mohou obsahovat následující látky: </w:t>
      </w:r>
      <w:r>
        <w:rPr>
          <w:sz w:val="18"/>
        </w:rPr>
        <w:t>Škodlivé plyny nebo páry.</w:t>
      </w:r>
    </w:p>
    <w:p>
      <w:pPr>
        <w:pStyle w:val="ListParagraph"/>
        <w:numPr>
          <w:ilvl w:val="1"/>
          <w:numId w:val="10"/>
        </w:numPr>
        <w:tabs>
          <w:tab w:val="left" w:pos="1486"/>
        </w:tabs>
        <w:spacing w:before="172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Rady </w:t>
      </w:r>
      <w:r>
        <w:rPr>
          <w:sz w:val="18"/>
        </w:rPr>
        <w:t xml:space="preserve">pro </w:t>
      </w:r>
      <w:r>
        <w:rPr>
          <w:spacing w:val="-2"/>
          <w:sz w:val="18"/>
        </w:rPr>
        <w:t>hasiče</w:t>
      </w:r>
    </w:p>
    <w:p>
      <w:pPr>
        <w:spacing w:before="159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Ochranná </w:t>
      </w:r>
      <w:r>
        <w:rPr>
          <w:i/>
          <w:sz w:val="18"/>
        </w:rPr>
        <w:t xml:space="preserve">opatření </w:t>
      </w:r>
      <w:r>
        <w:rPr>
          <w:i/>
          <w:sz w:val="18"/>
        </w:rPr>
        <w:t xml:space="preserve">při </w:t>
      </w:r>
      <w:r>
        <w:rPr>
          <w:i/>
          <w:spacing w:val="-2"/>
          <w:sz w:val="18"/>
        </w:rPr>
        <w:t>hašení požáru:</w:t>
      </w:r>
    </w:p>
    <w:p>
      <w:pPr>
        <w:spacing w:after="0"/>
        <w:jc w:val="left"/>
        <w:rPr>
          <w:i/>
          <w:sz w:val="20"/>
        </w:rPr>
        <w:sectPr>
          <w:pgSz w:w="12240" w:h="15840"/>
          <w:pgMar w:top="1560" w:right="360" w:bottom="1280" w:left="720" w:header="253" w:footer="1044"/>
          <w:cols w:space="708"/>
        </w:sectPr>
      </w:pPr>
    </w:p>
    <w:p>
      <w:pPr>
        <w:pStyle w:val="BodyText"/>
        <w:spacing w:line="249" w:lineRule="auto"/>
        <w:ind w:right="1680"/>
      </w:pPr>
      <w:r>
        <w:rPr>
          <w:sz w:val="18"/>
        </w:rPr>
        <w:t xml:space="preserve">Vyvarujte se </w:t>
      </w:r>
      <w:r>
        <w:rPr>
          <w:sz w:val="18"/>
        </w:rPr>
        <w:t xml:space="preserve">vdechování </w:t>
      </w:r>
      <w:r>
        <w:rPr>
          <w:sz w:val="18"/>
        </w:rPr>
        <w:t xml:space="preserve">požárních </w:t>
      </w:r>
      <w:r>
        <w:rPr>
          <w:sz w:val="18"/>
        </w:rPr>
        <w:t xml:space="preserve">plynů </w:t>
      </w:r>
      <w:r>
        <w:rPr>
          <w:sz w:val="18"/>
        </w:rPr>
        <w:t xml:space="preserve">nebo </w:t>
      </w:r>
      <w:r>
        <w:rPr>
          <w:sz w:val="18"/>
        </w:rPr>
        <w:t xml:space="preserve">výparů. </w:t>
      </w:r>
      <w:r>
        <w:rPr>
          <w:sz w:val="18"/>
        </w:rPr>
        <w:t xml:space="preserve">Evakuujte </w:t>
      </w:r>
      <w:r>
        <w:rPr>
          <w:sz w:val="18"/>
        </w:rPr>
        <w:t xml:space="preserve">prostor. </w:t>
      </w:r>
      <w:r>
        <w:rPr>
          <w:sz w:val="18"/>
        </w:rPr>
        <w:t xml:space="preserve">Nádoby </w:t>
      </w:r>
      <w:r>
        <w:rPr>
          <w:sz w:val="18"/>
        </w:rPr>
        <w:t xml:space="preserve">vystavené </w:t>
      </w:r>
      <w:r>
        <w:rPr>
          <w:sz w:val="18"/>
        </w:rPr>
        <w:t xml:space="preserve">žáru </w:t>
      </w:r>
      <w:r>
        <w:rPr>
          <w:sz w:val="18"/>
        </w:rPr>
        <w:t xml:space="preserve">ochlazujte </w:t>
      </w:r>
      <w:r>
        <w:rPr>
          <w:sz w:val="18"/>
        </w:rPr>
        <w:t xml:space="preserve">vodním postřikem a odstraňte je z prostoru požáru, pokud to lze provést bez rizika. </w:t>
      </w:r>
      <w:r>
        <w:rPr>
          <w:spacing w:val="-2"/>
          <w:sz w:val="18"/>
        </w:rPr>
        <w:t xml:space="preserve">Nádoby </w:t>
      </w:r>
      <w:r>
        <w:rPr>
          <w:sz w:val="18"/>
        </w:rPr>
        <w:t>ochlaďte</w:t>
      </w:r>
    </w:p>
    <w:p>
      <w:pPr>
        <w:pStyle w:val="BodyText"/>
        <w:spacing w:before="228" w:line="247" w:lineRule="auto"/>
        <w:ind w:right="898"/>
      </w:pPr>
      <w:r>
        <w:rPr>
          <w:sz w:val="18"/>
        </w:rPr>
        <w:t xml:space="preserve">vystavené plamenům s vodou až do doby, kdy je požár uhašen. Pokud se únik nebo rozlití nevznítilo, použijte k </w:t>
      </w:r>
      <w:r>
        <w:rPr>
          <w:sz w:val="18"/>
        </w:rPr>
        <w:t xml:space="preserve">rozptýlení </w:t>
      </w:r>
      <w:r>
        <w:rPr>
          <w:sz w:val="18"/>
        </w:rPr>
        <w:t xml:space="preserve">výparů </w:t>
      </w:r>
      <w:r>
        <w:rPr>
          <w:sz w:val="18"/>
        </w:rPr>
        <w:t xml:space="preserve">vodní sprej </w:t>
      </w:r>
      <w:r>
        <w:rPr>
          <w:spacing w:val="39"/>
          <w:sz w:val="18"/>
        </w:rPr>
        <w:t xml:space="preserve">a </w:t>
      </w:r>
      <w:r>
        <w:rPr>
          <w:sz w:val="18"/>
        </w:rPr>
        <w:t xml:space="preserve">ochraňte </w:t>
      </w:r>
      <w:r>
        <w:rPr>
          <w:sz w:val="18"/>
        </w:rPr>
        <w:t xml:space="preserve">muže, kteří </w:t>
      </w:r>
      <w:r>
        <w:rPr>
          <w:sz w:val="18"/>
        </w:rPr>
        <w:t xml:space="preserve">únik </w:t>
      </w:r>
      <w:r>
        <w:rPr>
          <w:sz w:val="18"/>
        </w:rPr>
        <w:t>zastavili</w:t>
      </w:r>
      <w:r>
        <w:rPr>
          <w:sz w:val="18"/>
        </w:rPr>
        <w:t xml:space="preserve">. </w:t>
      </w:r>
      <w:r>
        <w:rPr>
          <w:sz w:val="18"/>
        </w:rPr>
        <w:t xml:space="preserve">Kontrolujte stékající </w:t>
      </w:r>
      <w:r>
        <w:rPr>
          <w:sz w:val="18"/>
        </w:rPr>
        <w:t xml:space="preserve">vodu </w:t>
      </w:r>
      <w:r>
        <w:rPr>
          <w:sz w:val="18"/>
        </w:rPr>
        <w:t xml:space="preserve">tím, že ji zadržíte a udržíte mimo kanalizaci a vodní toky. Pokud hrozí </w:t>
      </w:r>
      <w:r>
        <w:rPr>
          <w:spacing w:val="31"/>
          <w:sz w:val="18"/>
        </w:rPr>
        <w:t xml:space="preserve">riziko </w:t>
      </w:r>
      <w:r>
        <w:rPr>
          <w:sz w:val="18"/>
        </w:rPr>
        <w:t xml:space="preserve">znečištění </w:t>
      </w:r>
      <w:r>
        <w:rPr>
          <w:sz w:val="18"/>
        </w:rPr>
        <w:t>vody</w:t>
      </w:r>
    </w:p>
    <w:p>
      <w:pPr>
        <w:pStyle w:val="BodyText"/>
        <w:spacing w:line="230" w:lineRule="exact"/>
      </w:pPr>
      <w:r>
        <w:rPr>
          <w:sz w:val="18"/>
        </w:rPr>
        <w:t xml:space="preserve">oznámit </w:t>
      </w:r>
      <w:r>
        <w:rPr>
          <w:sz w:val="18"/>
        </w:rPr>
        <w:t xml:space="preserve">příslušným </w:t>
      </w:r>
      <w:r>
        <w:rPr>
          <w:spacing w:val="-2"/>
          <w:sz w:val="18"/>
        </w:rPr>
        <w:t>orgánům.</w:t>
      </w:r>
    </w:p>
    <w:p>
      <w:pPr>
        <w:spacing w:before="178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Speciální </w:t>
      </w:r>
      <w:r>
        <w:rPr>
          <w:i/>
          <w:sz w:val="18"/>
        </w:rPr>
        <w:t xml:space="preserve">ochranné </w:t>
      </w:r>
      <w:r>
        <w:rPr>
          <w:i/>
          <w:sz w:val="18"/>
        </w:rPr>
        <w:t xml:space="preserve">prostředky pro </w:t>
      </w:r>
      <w:r>
        <w:rPr>
          <w:i/>
          <w:spacing w:val="-2"/>
          <w:sz w:val="18"/>
        </w:rPr>
        <w:t>hasiče:</w:t>
      </w:r>
    </w:p>
    <w:p>
      <w:pPr>
        <w:pStyle w:val="BodyText"/>
        <w:spacing w:before="12"/>
        <w:ind w:left="0"/>
        <w:rPr>
          <w:i/>
        </w:rPr>
      </w:pPr>
    </w:p>
    <w:p>
      <w:pPr>
        <w:pStyle w:val="BodyText"/>
        <w:spacing w:before="1" w:line="249" w:lineRule="auto"/>
        <w:ind w:right="2155"/>
      </w:pPr>
      <w:r>
        <w:rPr>
          <w:sz w:val="18"/>
        </w:rPr>
        <w:t xml:space="preserve">Používejte přetlakový </w:t>
      </w:r>
      <w:r>
        <w:rPr>
          <w:sz w:val="18"/>
        </w:rPr>
        <w:t xml:space="preserve">dýchací přístroj (SCBA) a vhodný ochranný oděv. Oděv hasiče odpovídající evropské normě EN469 </w:t>
      </w:r>
      <w:r>
        <w:rPr>
          <w:sz w:val="18"/>
        </w:rPr>
        <w:t xml:space="preserve">(včetně </w:t>
      </w:r>
      <w:r>
        <w:rPr>
          <w:sz w:val="18"/>
        </w:rPr>
        <w:t>přileb</w:t>
      </w:r>
      <w:r>
        <w:rPr>
          <w:sz w:val="18"/>
        </w:rPr>
        <w:t>, ochranné obuvi a rukavic) poskytne základní úroveň ochrany při chemických událostech.</w:t>
      </w:r>
    </w:p>
    <w:p>
      <w:pPr>
        <w:pStyle w:val="BodyText"/>
        <w:spacing w:before="211"/>
        <w:ind w:left="0"/>
      </w:pPr>
      <w: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1031239</wp:posOffset>
                </wp:positionH>
                <wp:positionV relativeFrom="paragraph">
                  <wp:posOffset>299041</wp:posOffset>
                </wp:positionV>
                <wp:extent cx="5755640" cy="177165"/>
                <wp:effectExtent l="0" t="0" r="0" b="0"/>
                <wp:wrapTopAndBottom/>
                <wp:docPr id="15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0" w:line="226" w:lineRule="exact"/>
                              <w:ind w:left="20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6: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Opatření při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náhodném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uvolnění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width:453.2pt;height:13.95pt;margin-top:23.55pt;margin-left:81.2pt;mso-position-horizontal-relative:page;mso-wrap-distance-left:0;mso-wrap-distance-right:0;position:absolute;z-index:-251644928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0" w:line="226" w:lineRule="exact"/>
                        <w:ind w:left="20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6: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Opatření při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náhodném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uvolnění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43"/>
        <w:ind w:left="0"/>
      </w:pPr>
    </w:p>
    <w:p>
      <w:pPr>
        <w:pStyle w:val="ListParagraph"/>
        <w:numPr>
          <w:ilvl w:val="1"/>
          <w:numId w:val="9"/>
        </w:numPr>
        <w:tabs>
          <w:tab w:val="left" w:pos="1272"/>
          <w:tab w:val="left" w:pos="1515"/>
        </w:tabs>
        <w:spacing w:before="1" w:after="0" w:line="240" w:lineRule="auto"/>
        <w:ind w:left="1272" w:right="3161" w:hanging="164"/>
        <w:jc w:val="left"/>
        <w:rPr>
          <w:sz w:val="20"/>
        </w:rPr>
      </w:pPr>
      <w:r>
        <w:rPr>
          <w:sz w:val="18"/>
        </w:rPr>
        <w:t>Osobní bezpečnostní opatření, ochranné prostředky a nouzové postupy Osobní bezpečnostní opatření:</w:t>
      </w:r>
    </w:p>
    <w:p>
      <w:pPr>
        <w:pStyle w:val="BodyText"/>
        <w:spacing w:before="221" w:line="247" w:lineRule="auto"/>
        <w:ind w:right="898"/>
      </w:pPr>
      <w:r>
        <w:rPr>
          <w:sz w:val="18"/>
        </w:rPr>
        <w:t xml:space="preserve">Používejte vhodné </w:t>
      </w:r>
      <w:r>
        <w:rPr>
          <w:sz w:val="18"/>
        </w:rPr>
        <w:t xml:space="preserve">ochranné </w:t>
      </w:r>
      <w:r>
        <w:rPr>
          <w:sz w:val="18"/>
        </w:rPr>
        <w:t xml:space="preserve">pomůcky, </w:t>
      </w:r>
      <w:r>
        <w:rPr>
          <w:sz w:val="18"/>
        </w:rPr>
        <w:t xml:space="preserve">včetně </w:t>
      </w:r>
      <w:r>
        <w:rPr>
          <w:sz w:val="18"/>
        </w:rPr>
        <w:t>rukavic, brýlí/obličejového štítu, respirátoru</w:t>
      </w:r>
      <w:r>
        <w:rPr>
          <w:sz w:val="18"/>
        </w:rPr>
        <w:t>, bot, oděvu nebo zástěry. Zamezte vdechování výparů a kontaktu s kůží a očima.</w:t>
      </w:r>
    </w:p>
    <w:p>
      <w:pPr>
        <w:pStyle w:val="BodyText"/>
        <w:spacing w:before="23"/>
        <w:ind w:left="0"/>
      </w:pPr>
    </w:p>
    <w:p>
      <w:pPr>
        <w:pStyle w:val="ListParagraph"/>
        <w:numPr>
          <w:ilvl w:val="1"/>
          <w:numId w:val="9"/>
        </w:numPr>
        <w:tabs>
          <w:tab w:val="left" w:pos="1518"/>
        </w:tabs>
        <w:spacing w:before="1" w:after="0" w:line="240" w:lineRule="auto"/>
        <w:ind w:left="1518" w:right="0" w:hanging="388"/>
        <w:jc w:val="left"/>
        <w:rPr>
          <w:sz w:val="20"/>
        </w:rPr>
      </w:pPr>
      <w:r>
        <w:rPr>
          <w:spacing w:val="-2"/>
          <w:sz w:val="18"/>
        </w:rPr>
        <w:t xml:space="preserve">Opatření pro </w:t>
      </w:r>
      <w:r>
        <w:rPr>
          <w:sz w:val="18"/>
        </w:rPr>
        <w:t>ochranu životního prostředí</w:t>
      </w:r>
    </w:p>
    <w:p>
      <w:pPr>
        <w:pStyle w:val="BodyText"/>
        <w:spacing w:before="10" w:line="247" w:lineRule="auto"/>
        <w:ind w:right="1992"/>
      </w:pPr>
      <w:r>
        <w:rPr>
          <w:sz w:val="18"/>
        </w:rPr>
        <w:t xml:space="preserve">Výrobek je biologicky odbouratelný, ale nesmí se vypouštět do kanalizace bez povolení </w:t>
      </w:r>
      <w:r>
        <w:rPr>
          <w:sz w:val="18"/>
        </w:rPr>
        <w:t xml:space="preserve">úřadů. </w:t>
      </w:r>
      <w:r>
        <w:rPr>
          <w:sz w:val="18"/>
        </w:rPr>
        <w:t xml:space="preserve">Nevypouštějte </w:t>
      </w:r>
      <w:r>
        <w:rPr>
          <w:sz w:val="18"/>
        </w:rPr>
        <w:t xml:space="preserve">do </w:t>
      </w:r>
      <w:r>
        <w:rPr>
          <w:sz w:val="18"/>
        </w:rPr>
        <w:t>kanalizace</w:t>
      </w:r>
      <w:r>
        <w:rPr>
          <w:sz w:val="18"/>
        </w:rPr>
        <w:t xml:space="preserve">, vodních toků </w:t>
      </w:r>
      <w:r>
        <w:rPr>
          <w:sz w:val="18"/>
        </w:rPr>
        <w:t xml:space="preserve">nebo </w:t>
      </w:r>
      <w:r>
        <w:rPr>
          <w:sz w:val="18"/>
        </w:rPr>
        <w:t xml:space="preserve">na </w:t>
      </w:r>
      <w:r>
        <w:rPr>
          <w:sz w:val="18"/>
        </w:rPr>
        <w:t>zem.</w:t>
      </w:r>
    </w:p>
    <w:p>
      <w:pPr>
        <w:pStyle w:val="BodyText"/>
        <w:spacing w:before="15"/>
        <w:ind w:left="0"/>
      </w:pPr>
    </w:p>
    <w:p>
      <w:pPr>
        <w:pStyle w:val="ListParagraph"/>
        <w:numPr>
          <w:ilvl w:val="1"/>
          <w:numId w:val="9"/>
        </w:numPr>
        <w:tabs>
          <w:tab w:val="left" w:pos="1490"/>
        </w:tabs>
        <w:spacing w:before="0" w:after="0" w:line="232" w:lineRule="auto"/>
        <w:ind w:left="1130" w:right="5805" w:firstLine="0"/>
        <w:jc w:val="left"/>
        <w:rPr>
          <w:rFonts w:ascii="Calibri"/>
          <w:sz w:val="22"/>
        </w:rPr>
      </w:pPr>
      <w:r>
        <w:rPr>
          <w:sz w:val="18"/>
        </w:rPr>
        <w:t>Metody a materiál pro omezení šíření a úklidMetody úklidu:</w:t>
      </w:r>
    </w:p>
    <w:p>
      <w:pPr>
        <w:pStyle w:val="BodyText"/>
        <w:spacing w:before="24"/>
        <w:ind w:left="0"/>
      </w:pPr>
    </w:p>
    <w:p>
      <w:pPr>
        <w:pStyle w:val="ListParagraph"/>
        <w:numPr>
          <w:ilvl w:val="1"/>
          <w:numId w:val="9"/>
        </w:numPr>
        <w:tabs>
          <w:tab w:val="left" w:pos="1245"/>
        </w:tabs>
        <w:spacing w:before="0" w:after="0" w:line="240" w:lineRule="auto"/>
        <w:ind w:left="1245" w:right="0" w:hanging="475"/>
        <w:jc w:val="both"/>
        <w:rPr>
          <w:rFonts w:ascii="Calibri"/>
          <w:sz w:val="22"/>
        </w:rPr>
      </w:pPr>
      <w:r>
        <w:rPr>
          <w:sz w:val="18"/>
        </w:rPr>
        <w:t xml:space="preserve">Odkaz </w:t>
      </w:r>
      <w:r>
        <w:rPr>
          <w:sz w:val="18"/>
        </w:rPr>
        <w:t xml:space="preserve">na </w:t>
      </w:r>
      <w:r>
        <w:rPr>
          <w:sz w:val="18"/>
        </w:rPr>
        <w:t xml:space="preserve">jiný </w:t>
      </w:r>
      <w:r>
        <w:rPr>
          <w:spacing w:val="-2"/>
          <w:sz w:val="18"/>
        </w:rPr>
        <w:t>oddíl:</w:t>
      </w:r>
    </w:p>
    <w:p>
      <w:pPr>
        <w:pStyle w:val="BodyText"/>
        <w:spacing w:before="1" w:line="247" w:lineRule="auto"/>
        <w:ind w:right="2307"/>
        <w:jc w:val="both"/>
      </w:pPr>
      <w:r>
        <w:rPr>
          <w:sz w:val="18"/>
        </w:rPr>
        <w:t xml:space="preserve">Informace o osobní ochraně naleznete v části 8. Další informace o nebezpečnosti pro zdraví viz oddíl 11. Další informace o ekologické nebezpečnosti viz oddíl 12. Informace o likvidaci odpadu </w:t>
      </w:r>
      <w:r>
        <w:rPr>
          <w:sz w:val="18"/>
        </w:rPr>
        <w:t>viz oddíl 13.</w:t>
      </w:r>
    </w:p>
    <w:p>
      <w:pPr>
        <w:pStyle w:val="BodyText"/>
        <w:spacing w:before="6"/>
        <w:ind w:left="0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161317</wp:posOffset>
                </wp:positionV>
                <wp:extent cx="5410200" cy="166370"/>
                <wp:effectExtent l="0" t="0" r="0" b="0"/>
                <wp:wrapTopAndBottom/>
                <wp:docPr id="1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7: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Manipulace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skladování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width:426pt;height:13.1pt;margin-top:12.7pt;margin-left:92.75pt;mso-position-horizontal-relative:page;mso-wrap-distance-left:0;mso-wrap-distance-right:0;position:absolute;z-index:-25164288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7: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Manipulace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skladování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8"/>
        </w:numPr>
        <w:tabs>
          <w:tab w:val="left" w:pos="1486"/>
        </w:tabs>
        <w:spacing w:before="8" w:after="0" w:line="235" w:lineRule="auto"/>
        <w:ind w:left="1130" w:right="6993" w:firstLine="0"/>
        <w:jc w:val="left"/>
        <w:rPr>
          <w:sz w:val="20"/>
        </w:rPr>
      </w:pPr>
      <w:r>
        <w:rPr>
          <w:sz w:val="18"/>
        </w:rPr>
        <w:t>Opatření pro bezpečnou manipulaci Bezpečnostní opatření pro použití:</w:t>
      </w:r>
    </w:p>
    <w:p>
      <w:pPr>
        <w:pStyle w:val="BodyText"/>
        <w:spacing w:before="141" w:line="242" w:lineRule="auto"/>
        <w:ind w:right="2221" w:firstLine="31"/>
        <w:jc w:val="both"/>
      </w:pPr>
      <w:r>
        <w:rPr>
          <w:sz w:val="18"/>
        </w:rPr>
        <w:t xml:space="preserve">Zvláštní </w:t>
      </w:r>
      <w:r>
        <w:rPr>
          <w:sz w:val="18"/>
        </w:rPr>
        <w:t xml:space="preserve">bezpečnostní opatření </w:t>
      </w:r>
      <w:r>
        <w:rPr>
          <w:sz w:val="18"/>
        </w:rPr>
        <w:t xml:space="preserve">nejsou </w:t>
      </w:r>
      <w:r>
        <w:rPr>
          <w:sz w:val="18"/>
        </w:rPr>
        <w:t>nutná</w:t>
      </w:r>
      <w:r>
        <w:rPr>
          <w:sz w:val="18"/>
        </w:rPr>
        <w:t xml:space="preserve">, ale </w:t>
      </w:r>
      <w:r>
        <w:rPr>
          <w:sz w:val="18"/>
        </w:rPr>
        <w:t xml:space="preserve">při </w:t>
      </w:r>
      <w:r>
        <w:rPr>
          <w:sz w:val="18"/>
        </w:rPr>
        <w:t xml:space="preserve">dlouhodobém </w:t>
      </w:r>
      <w:r>
        <w:rPr>
          <w:sz w:val="18"/>
        </w:rPr>
        <w:t xml:space="preserve">kontaktu </w:t>
      </w:r>
      <w:r>
        <w:rPr>
          <w:sz w:val="18"/>
        </w:rPr>
        <w:t xml:space="preserve">chraňte </w:t>
      </w:r>
      <w:r>
        <w:rPr>
          <w:sz w:val="18"/>
        </w:rPr>
        <w:t xml:space="preserve">oči </w:t>
      </w:r>
      <w:r>
        <w:rPr>
          <w:sz w:val="18"/>
        </w:rPr>
        <w:t>apokožku. Doporučení týkající se obecné hygieny práce:</w:t>
      </w:r>
    </w:p>
    <w:p>
      <w:pPr>
        <w:pStyle w:val="BodyText"/>
        <w:spacing w:before="175" w:line="290" w:lineRule="auto"/>
        <w:ind w:left="941" w:right="1992" w:firstLine="165"/>
        <w:rPr>
          <w:sz w:val="17"/>
        </w:rPr>
      </w:pPr>
      <w:r>
        <w:rPr>
          <w:sz w:val="18"/>
        </w:rPr>
        <w:t xml:space="preserve">Po </w:t>
      </w:r>
      <w:r>
        <w:rPr>
          <w:sz w:val="18"/>
        </w:rPr>
        <w:t xml:space="preserve">manipulaci s </w:t>
      </w:r>
      <w:r>
        <w:rPr>
          <w:sz w:val="18"/>
        </w:rPr>
        <w:t xml:space="preserve">kontaminovanou </w:t>
      </w:r>
      <w:r>
        <w:rPr>
          <w:sz w:val="18"/>
        </w:rPr>
        <w:t xml:space="preserve">pokožkou ji </w:t>
      </w:r>
      <w:r>
        <w:rPr>
          <w:sz w:val="18"/>
        </w:rPr>
        <w:t xml:space="preserve">důkladně </w:t>
      </w:r>
      <w:r>
        <w:rPr>
          <w:sz w:val="18"/>
        </w:rPr>
        <w:t>omyjte</w:t>
      </w:r>
      <w:r>
        <w:rPr>
          <w:sz w:val="18"/>
        </w:rPr>
        <w:t xml:space="preserve">. </w:t>
      </w:r>
      <w:r>
        <w:rPr>
          <w:sz w:val="18"/>
        </w:rPr>
        <w:t>Za běžných podmínek použití se</w:t>
      </w:r>
      <w:r>
        <w:rPr>
          <w:sz w:val="18"/>
        </w:rPr>
        <w:t xml:space="preserve"> nepředpokládají žádné </w:t>
      </w:r>
      <w:r>
        <w:rPr>
          <w:sz w:val="18"/>
        </w:rPr>
        <w:t xml:space="preserve">zvláštní </w:t>
      </w:r>
      <w:r>
        <w:rPr>
          <w:sz w:val="18"/>
        </w:rPr>
        <w:t>požadavky</w:t>
      </w:r>
      <w:r>
        <w:rPr>
          <w:sz w:val="16"/>
        </w:rPr>
        <w:t>.</w:t>
      </w:r>
    </w:p>
    <w:p>
      <w:pPr>
        <w:pStyle w:val="BodyText"/>
        <w:spacing w:before="20"/>
        <w:ind w:left="0"/>
      </w:pPr>
    </w:p>
    <w:p>
      <w:pPr>
        <w:pStyle w:val="ListParagraph"/>
        <w:numPr>
          <w:ilvl w:val="1"/>
          <w:numId w:val="8"/>
        </w:numPr>
        <w:tabs>
          <w:tab w:val="left" w:pos="1488"/>
        </w:tabs>
        <w:spacing w:before="0" w:after="0" w:line="232" w:lineRule="auto"/>
        <w:ind w:left="1130" w:right="5900" w:firstLine="0"/>
        <w:jc w:val="left"/>
        <w:rPr>
          <w:sz w:val="20"/>
        </w:rPr>
      </w:pPr>
      <w:r>
        <w:rPr>
          <w:sz w:val="18"/>
        </w:rPr>
        <w:t xml:space="preserve">Podmínky pro bezpečné skladování, včetně případných neslučitelností </w:t>
      </w:r>
      <w:r>
        <w:rPr>
          <w:sz w:val="18"/>
        </w:rPr>
        <w:t>Opatření pro skladování:</w:t>
      </w:r>
    </w:p>
    <w:p>
      <w:pPr>
        <w:pStyle w:val="BodyText"/>
        <w:spacing w:before="10" w:line="249" w:lineRule="auto"/>
        <w:ind w:right="1992"/>
      </w:pPr>
      <w:r>
        <w:rPr>
          <w:sz w:val="18"/>
        </w:rPr>
        <w:t>Uchovávejte mimo dosah dětí. Uchovávejte mimo dosah potravin, nápojů a krmiv pro zvířata. Uchovávejte pouze v původním obalu.</w:t>
      </w:r>
    </w:p>
    <w:p>
      <w:pPr>
        <w:pStyle w:val="BodyText"/>
        <w:spacing w:line="247" w:lineRule="auto"/>
        <w:ind w:right="7888"/>
        <w:jc w:val="both"/>
      </w:pPr>
      <w:r>
        <w:rPr>
          <w:sz w:val="18"/>
        </w:rPr>
        <w:t>Ochrana kontejnerů před poškozením</w:t>
      </w:r>
      <w:r>
        <w:rPr>
          <w:sz w:val="18"/>
        </w:rPr>
        <w:t>: Skladování chemikálií.</w:t>
      </w:r>
    </w:p>
    <w:p>
      <w:pPr>
        <w:pStyle w:val="BodyText"/>
        <w:spacing w:after="0" w:line="247" w:lineRule="auto"/>
        <w:jc w:val="both"/>
        <w:sectPr>
          <w:pgSz w:w="12240" w:h="15840"/>
          <w:pgMar w:top="1560" w:right="360" w:bottom="1280" w:left="720" w:header="253" w:footer="1044"/>
          <w:cols w:space="708"/>
        </w:sectPr>
      </w:pPr>
    </w:p>
    <w:p>
      <w:pPr>
        <w:pStyle w:val="ListParagraph"/>
        <w:numPr>
          <w:ilvl w:val="1"/>
          <w:numId w:val="8"/>
        </w:numPr>
        <w:tabs>
          <w:tab w:val="left" w:pos="1486"/>
        </w:tabs>
        <w:spacing w:before="211" w:after="0" w:line="241" w:lineRule="exact"/>
        <w:ind w:left="1486" w:right="0" w:hanging="356"/>
        <w:jc w:val="left"/>
        <w:rPr>
          <w:sz w:val="20"/>
        </w:rPr>
      </w:pPr>
      <w:r>
        <w:rPr>
          <w:sz w:val="18"/>
        </w:rPr>
        <w:t xml:space="preserve">Specifické </w:t>
      </w:r>
      <w:r>
        <w:rPr>
          <w:sz w:val="18"/>
        </w:rPr>
        <w:t xml:space="preserve">konečné </w:t>
      </w:r>
      <w:r>
        <w:rPr>
          <w:spacing w:val="-2"/>
          <w:sz w:val="18"/>
        </w:rPr>
        <w:t>použití (použití)</w:t>
      </w:r>
    </w:p>
    <w:p>
      <w:pPr>
        <w:pStyle w:val="BodyText"/>
        <w:spacing w:line="227" w:lineRule="exact"/>
        <w:jc w:val="both"/>
      </w:pPr>
      <w:r>
        <w:rPr>
          <w:sz w:val="18"/>
        </w:rPr>
        <w:t xml:space="preserve">Specifické </w:t>
      </w:r>
      <w:r>
        <w:rPr>
          <w:sz w:val="18"/>
        </w:rPr>
        <w:t xml:space="preserve">konečné </w:t>
      </w:r>
      <w:r>
        <w:rPr>
          <w:sz w:val="18"/>
        </w:rPr>
        <w:t xml:space="preserve">použití: </w:t>
      </w:r>
      <w:r>
        <w:rPr>
          <w:sz w:val="18"/>
        </w:rPr>
        <w:t xml:space="preserve">Určená </w:t>
      </w:r>
      <w:r>
        <w:rPr>
          <w:sz w:val="18"/>
        </w:rPr>
        <w:t xml:space="preserve">použití </w:t>
      </w:r>
      <w:r>
        <w:rPr>
          <w:sz w:val="18"/>
        </w:rPr>
        <w:t xml:space="preserve">tohoto </w:t>
      </w:r>
      <w:r>
        <w:rPr>
          <w:sz w:val="18"/>
        </w:rPr>
        <w:t xml:space="preserve">výrobku </w:t>
      </w:r>
      <w:r>
        <w:rPr>
          <w:sz w:val="18"/>
        </w:rPr>
        <w:t xml:space="preserve">jsou podrobně popsána </w:t>
      </w:r>
      <w:r>
        <w:rPr>
          <w:sz w:val="18"/>
        </w:rPr>
        <w:t xml:space="preserve">v </w:t>
      </w:r>
      <w:r>
        <w:rPr>
          <w:sz w:val="18"/>
        </w:rPr>
        <w:t xml:space="preserve">oddíle </w:t>
      </w:r>
      <w:r>
        <w:rPr>
          <w:spacing w:val="-4"/>
          <w:sz w:val="18"/>
        </w:rPr>
        <w:t>1.2.</w:t>
      </w:r>
    </w:p>
    <w:p>
      <w:pPr>
        <w:pStyle w:val="BodyText"/>
        <w:spacing w:before="73"/>
        <w:ind w:left="0"/>
      </w:pPr>
      <w: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210938</wp:posOffset>
                </wp:positionV>
                <wp:extent cx="5410200" cy="166370"/>
                <wp:effectExtent l="0" t="0" r="0" b="0"/>
                <wp:wrapTopAndBottom/>
                <wp:docPr id="1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0" w:line="225" w:lineRule="exact"/>
                              <w:ind w:left="127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8: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Kontrola expozice/osobní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ochrana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width:426pt;height:13.1pt;margin-top:16.61pt;margin-left:89.75pt;mso-position-horizontal-relative:page;mso-wrap-distance-left:0;mso-wrap-distance-right:0;position:absolute;z-index:-251640832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0" w:line="225" w:lineRule="exact"/>
                        <w:ind w:left="127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8: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Kontrola expozice/osobní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ochrana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7"/>
        </w:numPr>
        <w:tabs>
          <w:tab w:val="left" w:pos="1330"/>
        </w:tabs>
        <w:spacing w:before="54" w:after="0" w:line="240" w:lineRule="auto"/>
        <w:ind w:left="1330" w:right="0" w:hanging="389"/>
        <w:jc w:val="left"/>
        <w:rPr>
          <w:sz w:val="20"/>
        </w:rPr>
      </w:pPr>
      <w:r>
        <w:rPr>
          <w:sz w:val="18"/>
        </w:rPr>
        <w:t xml:space="preserve">Kontrolní </w:t>
      </w:r>
      <w:r>
        <w:rPr>
          <w:spacing w:val="-2"/>
          <w:sz w:val="18"/>
        </w:rPr>
        <w:t>parametry</w:t>
      </w:r>
    </w:p>
    <w:p>
      <w:pPr>
        <w:pStyle w:val="BodyText"/>
        <w:ind w:left="0"/>
      </w:pPr>
    </w:p>
    <w:p>
      <w:pPr>
        <w:pStyle w:val="BodyText"/>
        <w:spacing w:before="203"/>
        <w:ind w:left="0"/>
      </w:pPr>
    </w:p>
    <w:p>
      <w:pPr>
        <w:pStyle w:val="ListParagraph"/>
        <w:numPr>
          <w:ilvl w:val="1"/>
          <w:numId w:val="7"/>
        </w:numPr>
        <w:tabs>
          <w:tab w:val="left" w:pos="1519"/>
        </w:tabs>
        <w:spacing w:before="0" w:after="0" w:line="240" w:lineRule="auto"/>
        <w:ind w:left="1519" w:right="0" w:hanging="389"/>
        <w:jc w:val="left"/>
        <w:rPr>
          <w:sz w:val="20"/>
        </w:rPr>
      </w:pPr>
      <w:r>
        <w:rPr>
          <w:spacing w:val="-2"/>
          <w:sz w:val="18"/>
        </w:rPr>
        <w:t xml:space="preserve">Kontrola </w:t>
      </w:r>
      <w:r>
        <w:rPr>
          <w:sz w:val="18"/>
        </w:rPr>
        <w:t>expozice</w:t>
      </w:r>
    </w:p>
    <w:p>
      <w:pPr>
        <w:spacing w:before="5"/>
        <w:ind w:left="1130" w:right="0" w:firstLine="0"/>
        <w:jc w:val="both"/>
        <w:rPr>
          <w:b/>
          <w:sz w:val="17"/>
        </w:rPr>
      </w:pPr>
      <w:r>
        <w:rPr>
          <w:b/>
          <w:w w:val="85"/>
          <w:sz w:val="16"/>
        </w:rPr>
        <w:t xml:space="preserve">Ochranné </w:t>
      </w:r>
      <w:r>
        <w:rPr>
          <w:b/>
          <w:spacing w:val="-2"/>
          <w:sz w:val="16"/>
        </w:rPr>
        <w:t>vybavení</w:t>
      </w:r>
    </w:p>
    <w:p>
      <w:pPr>
        <w:pStyle w:val="BodyText"/>
        <w:spacing w:before="5"/>
        <w:ind w:left="0"/>
        <w:rPr>
          <w:b/>
        </w:rPr>
      </w:pPr>
      <w:r>
        <w:rPr>
          <w:b/>
        </w:rP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1174750</wp:posOffset>
            </wp:positionH>
            <wp:positionV relativeFrom="paragraph">
              <wp:posOffset>164448</wp:posOffset>
            </wp:positionV>
            <wp:extent cx="472423" cy="470916"/>
            <wp:effectExtent l="0" t="0" r="0" b="0"/>
            <wp:wrapTopAndBottom/>
            <wp:docPr id="1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23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1830070</wp:posOffset>
            </wp:positionH>
            <wp:positionV relativeFrom="paragraph">
              <wp:posOffset>167662</wp:posOffset>
            </wp:positionV>
            <wp:extent cx="469420" cy="470916"/>
            <wp:effectExtent l="0" t="0" r="0" b="0"/>
            <wp:wrapTopAndBottom/>
            <wp:docPr id="19" name="Imag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20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3"/>
        <w:ind w:left="0"/>
        <w:rPr>
          <w:b/>
          <w:sz w:val="17"/>
        </w:rPr>
      </w:pPr>
    </w:p>
    <w:p>
      <w:pPr>
        <w:spacing w:before="0" w:line="302" w:lineRule="auto"/>
        <w:ind w:left="1282" w:right="1992" w:firstLine="0"/>
        <w:jc w:val="left"/>
        <w:rPr>
          <w:sz w:val="20"/>
        </w:rPr>
      </w:pPr>
      <w:r>
        <w:rPr>
          <w:b/>
          <w:sz w:val="18"/>
        </w:rPr>
        <w:t xml:space="preserve">Vhodné </w:t>
      </w:r>
      <w:r>
        <w:rPr>
          <w:b/>
          <w:sz w:val="18"/>
        </w:rPr>
        <w:t xml:space="preserve">technické </w:t>
      </w:r>
      <w:r>
        <w:rPr>
          <w:b/>
          <w:sz w:val="18"/>
        </w:rPr>
        <w:t xml:space="preserve">kontroly: </w:t>
      </w:r>
      <w:r>
        <w:rPr>
          <w:sz w:val="18"/>
        </w:rPr>
        <w:t xml:space="preserve">Tento </w:t>
      </w:r>
      <w:r>
        <w:rPr>
          <w:sz w:val="18"/>
        </w:rPr>
        <w:t xml:space="preserve">výrobek </w:t>
      </w:r>
      <w:r>
        <w:rPr>
          <w:sz w:val="18"/>
        </w:rPr>
        <w:t>se</w:t>
      </w:r>
      <w:r>
        <w:rPr>
          <w:sz w:val="18"/>
        </w:rPr>
        <w:t xml:space="preserve"> nesmí </w:t>
      </w:r>
      <w:r>
        <w:rPr>
          <w:sz w:val="18"/>
        </w:rPr>
        <w:t xml:space="preserve">používat </w:t>
      </w:r>
      <w:r>
        <w:rPr>
          <w:sz w:val="18"/>
        </w:rPr>
        <w:t xml:space="preserve">v podmínkách </w:t>
      </w:r>
      <w:r>
        <w:rPr>
          <w:sz w:val="18"/>
        </w:rPr>
        <w:t xml:space="preserve">špatného větrání. </w:t>
      </w:r>
      <w:r>
        <w:rPr>
          <w:sz w:val="18"/>
        </w:rPr>
        <w:t xml:space="preserve">Oční </w:t>
      </w:r>
      <w:r>
        <w:rPr>
          <w:sz w:val="18"/>
        </w:rPr>
        <w:t xml:space="preserve">a </w:t>
      </w:r>
      <w:r>
        <w:rPr>
          <w:sz w:val="18"/>
        </w:rPr>
        <w:t xml:space="preserve">tělní </w:t>
      </w:r>
      <w:r>
        <w:rPr>
          <w:sz w:val="18"/>
        </w:rPr>
        <w:t xml:space="preserve">sprchy </w:t>
      </w:r>
      <w:r>
        <w:rPr>
          <w:sz w:val="18"/>
        </w:rPr>
        <w:t xml:space="preserve">by měly </w:t>
      </w:r>
      <w:r>
        <w:rPr>
          <w:sz w:val="18"/>
        </w:rPr>
        <w:t xml:space="preserve">být </w:t>
      </w:r>
      <w:r>
        <w:rPr>
          <w:sz w:val="18"/>
        </w:rPr>
        <w:t xml:space="preserve">uchovávány </w:t>
      </w:r>
      <w:r>
        <w:rPr>
          <w:sz w:val="18"/>
        </w:rPr>
        <w:t>v prostředí.</w:t>
      </w:r>
    </w:p>
    <w:p>
      <w:pPr>
        <w:spacing w:before="112"/>
        <w:ind w:left="1282" w:right="0" w:firstLine="0"/>
        <w:jc w:val="left"/>
        <w:rPr>
          <w:sz w:val="20"/>
        </w:rPr>
      </w:pPr>
      <w:r>
        <w:rPr>
          <w:b/>
          <w:sz w:val="18"/>
        </w:rPr>
        <w:t xml:space="preserve">Ochrana </w:t>
      </w:r>
      <w:r>
        <w:rPr>
          <w:b/>
          <w:sz w:val="18"/>
        </w:rPr>
        <w:t>očí/obličeje</w:t>
      </w:r>
      <w:r>
        <w:rPr>
          <w:b/>
          <w:sz w:val="18"/>
        </w:rPr>
        <w:t xml:space="preserve">: </w:t>
      </w:r>
      <w:r>
        <w:rPr>
          <w:sz w:val="18"/>
        </w:rPr>
        <w:t xml:space="preserve">Používejte </w:t>
      </w:r>
      <w:r>
        <w:rPr>
          <w:spacing w:val="-2"/>
          <w:sz w:val="18"/>
        </w:rPr>
        <w:t xml:space="preserve">ochranné brýle proti </w:t>
      </w:r>
      <w:r>
        <w:rPr>
          <w:sz w:val="18"/>
        </w:rPr>
        <w:t xml:space="preserve">stříkajícím </w:t>
      </w:r>
      <w:r>
        <w:rPr>
          <w:sz w:val="18"/>
        </w:rPr>
        <w:t>chemikáliím</w:t>
      </w:r>
    </w:p>
    <w:p>
      <w:pPr>
        <w:pStyle w:val="BodyText"/>
        <w:spacing w:before="226" w:line="244" w:lineRule="auto"/>
        <w:ind w:left="1282" w:right="1130"/>
      </w:pPr>
      <w:r>
        <w:rPr>
          <w:b/>
          <w:sz w:val="18"/>
        </w:rPr>
        <w:t xml:space="preserve">Ochrana </w:t>
      </w:r>
      <w:r>
        <w:rPr>
          <w:b/>
          <w:sz w:val="18"/>
        </w:rPr>
        <w:t>rukou</w:t>
      </w:r>
      <w:r>
        <w:rPr>
          <w:b/>
          <w:sz w:val="18"/>
        </w:rPr>
        <w:t xml:space="preserve">: </w:t>
      </w:r>
      <w:r>
        <w:rPr>
          <w:sz w:val="18"/>
        </w:rPr>
        <w:t>Pro uživatele s citlivou pokožkou se doporučuje používat vhodné ochranné rukavice.</w:t>
      </w:r>
    </w:p>
    <w:p>
      <w:pPr>
        <w:pStyle w:val="BodyText"/>
        <w:spacing w:before="123" w:line="297" w:lineRule="auto"/>
        <w:ind w:left="1282" w:right="1992"/>
      </w:pPr>
      <w:r>
        <w:rPr>
          <w:b/>
          <w:sz w:val="18"/>
        </w:rPr>
        <w:t xml:space="preserve">Hygienická opatření: </w:t>
      </w:r>
      <w:r>
        <w:rPr>
          <w:sz w:val="18"/>
        </w:rPr>
        <w:t xml:space="preserve">Na </w:t>
      </w:r>
      <w:r>
        <w:rPr>
          <w:spacing w:val="-4"/>
          <w:sz w:val="18"/>
        </w:rPr>
        <w:t xml:space="preserve">konci </w:t>
      </w:r>
      <w:r>
        <w:rPr>
          <w:sz w:val="18"/>
        </w:rPr>
        <w:t xml:space="preserve">každé </w:t>
      </w:r>
      <w:r>
        <w:rPr>
          <w:sz w:val="18"/>
        </w:rPr>
        <w:t xml:space="preserve">pracovní směny </w:t>
      </w:r>
      <w:r>
        <w:rPr>
          <w:sz w:val="18"/>
        </w:rPr>
        <w:t xml:space="preserve">a </w:t>
      </w:r>
      <w:r>
        <w:rPr>
          <w:sz w:val="18"/>
        </w:rPr>
        <w:t xml:space="preserve">před </w:t>
      </w:r>
      <w:r>
        <w:rPr>
          <w:sz w:val="18"/>
        </w:rPr>
        <w:t>jídlem</w:t>
      </w:r>
      <w:r>
        <w:rPr>
          <w:sz w:val="18"/>
        </w:rPr>
        <w:t xml:space="preserve">, kouřením </w:t>
      </w:r>
      <w:r>
        <w:rPr>
          <w:sz w:val="18"/>
        </w:rPr>
        <w:t xml:space="preserve">a použitím toalety </w:t>
      </w:r>
      <w:r>
        <w:rPr>
          <w:sz w:val="18"/>
        </w:rPr>
        <w:t>se umyjte</w:t>
      </w:r>
      <w:r>
        <w:rPr>
          <w:sz w:val="18"/>
        </w:rPr>
        <w:t xml:space="preserve">. </w:t>
      </w:r>
      <w:r>
        <w:rPr>
          <w:sz w:val="18"/>
        </w:rPr>
        <w:t xml:space="preserve">V případě kontaminace pokožky </w:t>
      </w:r>
      <w:r>
        <w:rPr>
          <w:sz w:val="18"/>
        </w:rPr>
        <w:t>se neprodleně omyjte</w:t>
      </w:r>
      <w:r>
        <w:rPr>
          <w:sz w:val="18"/>
        </w:rPr>
        <w:t>.</w:t>
      </w:r>
    </w:p>
    <w:p>
      <w:pPr>
        <w:spacing w:before="157"/>
        <w:ind w:left="1282" w:right="0" w:firstLine="0"/>
        <w:jc w:val="left"/>
        <w:rPr>
          <w:sz w:val="20"/>
        </w:rPr>
      </w:pPr>
      <w:r>
        <w:rPr>
          <w:b/>
          <w:sz w:val="18"/>
        </w:rPr>
        <w:t xml:space="preserve">Ochrana dýchacích cest: </w:t>
      </w:r>
      <w:r>
        <w:rPr>
          <w:sz w:val="18"/>
        </w:rPr>
        <w:t xml:space="preserve">Za </w:t>
      </w:r>
      <w:r>
        <w:rPr>
          <w:sz w:val="18"/>
        </w:rPr>
        <w:t xml:space="preserve">běžných </w:t>
      </w:r>
      <w:r>
        <w:rPr>
          <w:sz w:val="18"/>
        </w:rPr>
        <w:t xml:space="preserve">podmínek </w:t>
      </w:r>
      <w:r>
        <w:rPr>
          <w:spacing w:val="-4"/>
          <w:sz w:val="18"/>
        </w:rPr>
        <w:t xml:space="preserve">použití </w:t>
      </w:r>
      <w:r>
        <w:rPr>
          <w:sz w:val="18"/>
        </w:rPr>
        <w:t>se</w:t>
      </w:r>
      <w:r>
        <w:rPr>
          <w:sz w:val="18"/>
        </w:rPr>
        <w:t xml:space="preserve"> nepředpokládají žádné </w:t>
      </w:r>
      <w:r>
        <w:rPr>
          <w:sz w:val="18"/>
        </w:rPr>
        <w:t xml:space="preserve">zvláštní </w:t>
      </w:r>
      <w:r>
        <w:rPr>
          <w:sz w:val="18"/>
        </w:rPr>
        <w:t>požadavky.</w:t>
      </w:r>
    </w:p>
    <w:p>
      <w:pPr>
        <w:pStyle w:val="BodyText"/>
        <w:tabs>
          <w:tab w:val="left" w:pos="4460"/>
        </w:tabs>
        <w:spacing w:before="200" w:line="247" w:lineRule="auto"/>
        <w:ind w:right="2617"/>
      </w:pPr>
      <w:r>
        <w:rPr>
          <w:sz w:val="18"/>
        </w:rPr>
        <w:t>Kontrola expozice životního prostředí:</w:t>
      </w:r>
      <w:r>
        <w:rPr>
          <w:sz w:val="18"/>
        </w:rPr>
        <w:tab/>
      </w:r>
      <w:r>
        <w:rPr>
          <w:sz w:val="18"/>
        </w:rPr>
        <w:t xml:space="preserve">Neočekává se, že by výrobek byl nebezpečný </w:t>
      </w:r>
      <w:r>
        <w:rPr>
          <w:sz w:val="18"/>
        </w:rPr>
        <w:t>pro životní prostředí.</w:t>
      </w:r>
    </w:p>
    <w:p>
      <w:pPr>
        <w:pStyle w:val="BodyText"/>
        <w:spacing w:before="6"/>
        <w:ind w:left="0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160968</wp:posOffset>
                </wp:positionV>
                <wp:extent cx="5410200" cy="167640"/>
                <wp:effectExtent l="0" t="0" r="0" b="0"/>
                <wp:wrapTopAndBottom/>
                <wp:docPr id="20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9: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Fyzikální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chemické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vlastnosti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width:426pt;height:13.2pt;margin-top:12.67pt;margin-left:92.75pt;mso-position-horizontal-relative:page;mso-wrap-distance-left:0;mso-wrap-distance-right:0;position:absolute;z-index:-251636736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9: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Fyzikální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chemické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vlastnosti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6"/>
        </w:numPr>
        <w:tabs>
          <w:tab w:val="left" w:pos="1488"/>
          <w:tab w:val="left" w:pos="4460"/>
        </w:tabs>
        <w:spacing w:before="169" w:after="0" w:line="235" w:lineRule="auto"/>
        <w:ind w:left="1130" w:right="4201" w:firstLine="0"/>
        <w:jc w:val="left"/>
        <w:rPr>
          <w:sz w:val="20"/>
        </w:rPr>
      </w:pPr>
      <w:r>
        <w:rPr>
          <w:sz w:val="18"/>
        </w:rPr>
        <w:t xml:space="preserve">Informace </w:t>
      </w:r>
      <w:r>
        <w:rPr>
          <w:sz w:val="18"/>
        </w:rPr>
        <w:t xml:space="preserve">o </w:t>
      </w:r>
      <w:r>
        <w:rPr>
          <w:sz w:val="18"/>
        </w:rPr>
        <w:t xml:space="preserve">základních </w:t>
      </w:r>
      <w:r>
        <w:rPr>
          <w:sz w:val="18"/>
        </w:rPr>
        <w:t xml:space="preserve">fyzikálních </w:t>
      </w:r>
      <w:r>
        <w:rPr>
          <w:sz w:val="18"/>
        </w:rPr>
        <w:t xml:space="preserve">a </w:t>
      </w:r>
      <w:r>
        <w:rPr>
          <w:sz w:val="18"/>
        </w:rPr>
        <w:t xml:space="preserve">chemických </w:t>
      </w:r>
      <w:r>
        <w:rPr>
          <w:sz w:val="18"/>
        </w:rPr>
        <w:t xml:space="preserve">vlastnostech </w:t>
      </w:r>
      <w:r>
        <w:rPr>
          <w:spacing w:val="-2"/>
          <w:sz w:val="18"/>
        </w:rPr>
        <w:t>Vzhled</w:t>
      </w:r>
      <w:r>
        <w:rPr>
          <w:sz w:val="18"/>
        </w:rPr>
        <w:tab/>
      </w:r>
      <w:r>
        <w:rPr>
          <w:spacing w:val="-2"/>
          <w:sz w:val="18"/>
        </w:rPr>
        <w:t>TEKUTÝ</w:t>
      </w:r>
    </w:p>
    <w:p>
      <w:pPr>
        <w:pStyle w:val="Heading1"/>
        <w:tabs>
          <w:tab w:val="left" w:pos="4460"/>
        </w:tabs>
        <w:spacing w:before="13"/>
        <w:ind w:firstLine="0"/>
        <w:rPr>
          <w:rFonts w:ascii="Arial"/>
        </w:rPr>
      </w:pPr>
      <w:r>
        <w:rPr>
          <w:rFonts w:ascii="Arial"/>
          <w:spacing w:val="-2"/>
          <w:w w:val="105"/>
          <w:sz w:val="20"/>
        </w:rPr>
        <w:t>Barva</w:t>
      </w:r>
      <w:r>
        <w:rPr>
          <w:rFonts w:ascii="Arial"/>
          <w:sz w:val="20"/>
        </w:rPr>
        <w:tab/>
      </w:r>
      <w:r>
        <w:rPr>
          <w:rFonts w:ascii="Arial"/>
          <w:spacing w:val="-2"/>
          <w:w w:val="105"/>
          <w:sz w:val="20"/>
        </w:rPr>
        <w:t>TRANSPARENTNÍ</w:t>
      </w:r>
    </w:p>
    <w:p>
      <w:pPr>
        <w:pStyle w:val="BodyText"/>
        <w:tabs>
          <w:tab w:val="left" w:pos="4460"/>
        </w:tabs>
        <w:spacing w:before="10"/>
        <w:jc w:val="both"/>
      </w:pPr>
      <w:r>
        <w:rPr>
          <w:spacing w:val="-2"/>
          <w:sz w:val="18"/>
        </w:rPr>
        <w:t>Zápach</w:t>
      </w:r>
      <w:r>
        <w:rPr>
          <w:sz w:val="18"/>
        </w:rPr>
        <w:tab/>
      </w:r>
      <w:r>
        <w:rPr>
          <w:spacing w:val="-2"/>
          <w:sz w:val="18"/>
        </w:rPr>
        <w:t>Vůně.</w:t>
      </w:r>
    </w:p>
    <w:p>
      <w:pPr>
        <w:pStyle w:val="BodyText"/>
        <w:spacing w:before="10"/>
        <w:jc w:val="both"/>
      </w:pPr>
      <w:r>
        <w:rPr>
          <w:sz w:val="18"/>
        </w:rPr>
        <w:t xml:space="preserve">pH </w:t>
      </w:r>
      <w:r>
        <w:rPr>
          <w:sz w:val="18"/>
        </w:rPr>
        <w:t xml:space="preserve">pH </w:t>
      </w:r>
      <w:r>
        <w:rPr>
          <w:sz w:val="18"/>
        </w:rPr>
        <w:t xml:space="preserve">(koncentrovaný </w:t>
      </w:r>
      <w:r>
        <w:rPr>
          <w:sz w:val="18"/>
        </w:rPr>
        <w:t>roztok</w:t>
      </w:r>
      <w:r>
        <w:rPr>
          <w:sz w:val="18"/>
        </w:rPr>
        <w:t>)</w:t>
      </w:r>
      <w:r>
        <w:rPr>
          <w:sz w:val="18"/>
        </w:rPr>
        <w:t>:</w:t>
      </w:r>
      <w:r>
        <w:rPr>
          <w:spacing w:val="54"/>
          <w:w w:val="150"/>
          <w:sz w:val="18"/>
        </w:rPr>
        <w:t xml:space="preserve">    </w:t>
      </w:r>
      <w:r>
        <w:rPr>
          <w:sz w:val="18"/>
        </w:rPr>
        <w:t xml:space="preserve"> </w:t>
      </w:r>
      <w:r>
        <w:rPr>
          <w:spacing w:val="-10"/>
          <w:sz w:val="18"/>
        </w:rPr>
        <w:t>2-4</w:t>
      </w:r>
    </w:p>
    <w:p>
      <w:pPr>
        <w:pStyle w:val="BodyText"/>
        <w:tabs>
          <w:tab w:val="left" w:pos="4460"/>
          <w:tab w:val="left" w:pos="4503"/>
          <w:tab w:val="left" w:pos="5261"/>
          <w:tab w:val="left" w:pos="5612"/>
          <w:tab w:val="left" w:pos="5650"/>
        </w:tabs>
        <w:spacing w:before="10" w:line="247" w:lineRule="auto"/>
        <w:ind w:right="4520"/>
        <w:jc w:val="both"/>
      </w:pPr>
      <w:r>
        <w:rPr>
          <w:sz w:val="18"/>
        </w:rPr>
        <w:t>Bod tání</w:t>
      </w:r>
      <w:r>
        <w:rPr>
          <w:sz w:val="18"/>
        </w:rPr>
        <w:tab/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>Počáteční bod varu a rozmezí</w:t>
      </w:r>
      <w:r>
        <w:rPr>
          <w:sz w:val="18"/>
        </w:rPr>
        <w:tab/>
      </w:r>
      <w:r>
        <w:rPr>
          <w:sz w:val="18"/>
        </w:rPr>
        <w:t xml:space="preserve">Nejsou k dispozici žádné informace. </w:t>
      </w:r>
      <w:r>
        <w:rPr>
          <w:sz w:val="18"/>
        </w:rPr>
        <w:t>Bod vzplanutí</w:t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pacing w:val="-2"/>
          <w:sz w:val="18"/>
        </w:rPr>
        <w:t>informace nejsou k dispozici.</w:t>
      </w:r>
    </w:p>
    <w:p>
      <w:pPr>
        <w:pStyle w:val="BodyText"/>
        <w:tabs>
          <w:tab w:val="left" w:pos="4460"/>
        </w:tabs>
        <w:spacing w:before="1" w:line="252" w:lineRule="auto"/>
        <w:ind w:right="4431"/>
        <w:jc w:val="both"/>
      </w:pPr>
      <w:r>
        <w:rPr>
          <w:sz w:val="18"/>
        </w:rPr>
        <w:t>Hořlavost (pevná látka, plyn)</w:t>
      </w:r>
      <w:r>
        <w:rPr>
          <w:sz w:val="18"/>
        </w:rPr>
        <w:tab/>
      </w:r>
      <w:r>
        <w:rPr>
          <w:sz w:val="18"/>
        </w:rPr>
        <w:t xml:space="preserve">Nejsou k dispozici žádné informace. </w:t>
      </w:r>
      <w:r>
        <w:rPr>
          <w:spacing w:val="-2"/>
          <w:sz w:val="18"/>
        </w:rPr>
        <w:t xml:space="preserve">Tlak </w:t>
      </w:r>
      <w:r>
        <w:rPr>
          <w:sz w:val="18"/>
        </w:rPr>
        <w:t>par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 xml:space="preserve">k </w:t>
      </w:r>
      <w:r>
        <w:rPr>
          <w:sz w:val="18"/>
        </w:rPr>
        <w:t xml:space="preserve">dispozici žádné </w:t>
      </w:r>
      <w:r>
        <w:rPr>
          <w:sz w:val="18"/>
        </w:rPr>
        <w:t>informace.</w:t>
      </w:r>
    </w:p>
    <w:p>
      <w:pPr>
        <w:pStyle w:val="BodyText"/>
        <w:tabs>
          <w:tab w:val="left" w:pos="4460"/>
        </w:tabs>
        <w:spacing w:line="223" w:lineRule="exact"/>
        <w:jc w:val="both"/>
      </w:pPr>
      <w:r>
        <w:rPr>
          <w:sz w:val="18"/>
        </w:rPr>
        <w:t xml:space="preserve">Relativní </w:t>
      </w:r>
      <w:r>
        <w:rPr>
          <w:spacing w:val="-2"/>
          <w:sz w:val="18"/>
        </w:rPr>
        <w:t>hustota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informace.</w:t>
      </w:r>
    </w:p>
    <w:p>
      <w:pPr>
        <w:pStyle w:val="BodyText"/>
        <w:tabs>
          <w:tab w:val="left" w:pos="4460"/>
          <w:tab w:val="left" w:pos="5261"/>
          <w:tab w:val="left" w:pos="5566"/>
        </w:tabs>
        <w:spacing w:before="10" w:line="247" w:lineRule="auto"/>
        <w:ind w:right="4567"/>
      </w:pPr>
      <w:r>
        <w:rPr>
          <w:spacing w:val="-2"/>
          <w:sz w:val="18"/>
        </w:rPr>
        <w:t>Rozpustnost(y)</w:t>
      </w:r>
      <w:r>
        <w:rPr>
          <w:sz w:val="18"/>
        </w:rPr>
        <w:tab/>
      </w:r>
      <w:r>
        <w:rPr>
          <w:sz w:val="18"/>
        </w:rPr>
        <w:t>NeRozpustný ve vodě. Teplota samovznícení</w:t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>Teplota rozkladu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 xml:space="preserve">k dispozici </w:t>
      </w:r>
      <w:r>
        <w:rPr>
          <w:sz w:val="18"/>
        </w:rPr>
        <w:t xml:space="preserve">žádné </w:t>
      </w:r>
      <w:r>
        <w:rPr>
          <w:sz w:val="18"/>
        </w:rPr>
        <w:t>informace</w:t>
      </w:r>
      <w:r>
        <w:rPr>
          <w:spacing w:val="-2"/>
          <w:sz w:val="18"/>
        </w:rPr>
        <w:t>.Viskozita</w:t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pacing w:val="-2"/>
          <w:sz w:val="18"/>
        </w:rPr>
        <w:t>informace nejsou k dispozici.</w:t>
      </w:r>
    </w:p>
    <w:p>
      <w:pPr>
        <w:pStyle w:val="BodyText"/>
        <w:tabs>
          <w:tab w:val="left" w:pos="4460"/>
        </w:tabs>
        <w:spacing w:before="3"/>
      </w:pPr>
      <w:r>
        <w:rPr>
          <w:sz w:val="18"/>
        </w:rPr>
        <w:t xml:space="preserve">Výbušné </w:t>
      </w:r>
      <w:r>
        <w:rPr>
          <w:spacing w:val="-2"/>
          <w:sz w:val="18"/>
        </w:rPr>
        <w:t>vlastnosti</w:t>
      </w:r>
      <w:r>
        <w:rPr>
          <w:sz w:val="18"/>
        </w:rPr>
        <w:tab/>
      </w:r>
      <w:r>
        <w:rPr>
          <w:sz w:val="18"/>
        </w:rPr>
        <w:t xml:space="preserve">Není </w:t>
      </w:r>
      <w:r>
        <w:rPr>
          <w:sz w:val="18"/>
        </w:rPr>
        <w:t xml:space="preserve">považován </w:t>
      </w:r>
      <w:r>
        <w:rPr>
          <w:sz w:val="18"/>
        </w:rPr>
        <w:t xml:space="preserve">za </w:t>
      </w:r>
      <w:r>
        <w:rPr>
          <w:spacing w:val="-2"/>
          <w:sz w:val="18"/>
        </w:rPr>
        <w:t>výbušný.</w:t>
      </w:r>
    </w:p>
    <w:p>
      <w:pPr>
        <w:pStyle w:val="BodyText"/>
        <w:tabs>
          <w:tab w:val="left" w:pos="4460"/>
        </w:tabs>
        <w:spacing w:before="8"/>
      </w:pPr>
      <w:r>
        <w:rPr>
          <w:spacing w:val="-2"/>
          <w:sz w:val="18"/>
        </w:rPr>
        <w:t>Hustota:</w:t>
      </w:r>
      <w:r>
        <w:rPr>
          <w:sz w:val="18"/>
        </w:rPr>
        <w:tab/>
      </w:r>
      <w:r>
        <w:rPr>
          <w:spacing w:val="-4"/>
          <w:sz w:val="18"/>
        </w:rPr>
        <w:t xml:space="preserve">Hustota: </w:t>
      </w:r>
      <w:r>
        <w:rPr>
          <w:sz w:val="18"/>
        </w:rPr>
        <w:t xml:space="preserve">1,00 </w:t>
      </w:r>
      <w:r>
        <w:rPr>
          <w:sz w:val="18"/>
        </w:rPr>
        <w:t xml:space="preserve">- </w:t>
      </w:r>
      <w:r>
        <w:rPr>
          <w:sz w:val="18"/>
        </w:rPr>
        <w:t xml:space="preserve">1,05 </w:t>
      </w:r>
      <w:r>
        <w:rPr>
          <w:spacing w:val="-4"/>
          <w:sz w:val="18"/>
        </w:rPr>
        <w:t>g/ml</w:t>
      </w:r>
    </w:p>
    <w:p>
      <w:pPr>
        <w:pStyle w:val="ListParagraph"/>
        <w:numPr>
          <w:ilvl w:val="1"/>
          <w:numId w:val="6"/>
        </w:numPr>
        <w:tabs>
          <w:tab w:val="left" w:pos="1486"/>
        </w:tabs>
        <w:spacing w:before="7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Další </w:t>
      </w:r>
      <w:r>
        <w:rPr>
          <w:spacing w:val="-2"/>
          <w:sz w:val="18"/>
        </w:rPr>
        <w:t>informace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2240" w:h="15840"/>
          <w:pgMar w:top="1560" w:right="360" w:bottom="1280" w:left="720" w:header="253" w:footer="1044"/>
          <w:cols w:space="708"/>
        </w:sectPr>
      </w:pPr>
    </w:p>
    <w:p>
      <w:pPr>
        <w:pStyle w:val="BodyText"/>
        <w:spacing w:before="221"/>
      </w:pPr>
      <w:r>
        <w:rPr>
          <w:sz w:val="18"/>
        </w:rPr>
        <w:t xml:space="preserve">Další </w:t>
      </w:r>
      <w:r>
        <w:rPr>
          <w:spacing w:val="-2"/>
          <w:sz w:val="18"/>
        </w:rPr>
        <w:t>informace:</w:t>
      </w:r>
    </w:p>
    <w:p>
      <w:pPr>
        <w:pStyle w:val="BodyText"/>
        <w:spacing w:before="10"/>
      </w:pPr>
      <w:r>
        <w:rPr>
          <w:sz w:val="18"/>
        </w:rPr>
        <w:t xml:space="preserve">nebo </w:t>
      </w:r>
      <w:r>
        <w:rPr>
          <w:sz w:val="18"/>
        </w:rPr>
        <w:t xml:space="preserve">konečný </w:t>
      </w:r>
      <w:r>
        <w:rPr>
          <w:spacing w:val="-2"/>
          <w:sz w:val="18"/>
        </w:rPr>
        <w:t>produkt.</w:t>
      </w:r>
    </w:p>
    <w:p>
      <w:pPr>
        <w:pStyle w:val="BodyText"/>
        <w:spacing w:before="6"/>
        <w:ind w:left="0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1174750</wp:posOffset>
                </wp:positionH>
                <wp:positionV relativeFrom="paragraph">
                  <wp:posOffset>51713</wp:posOffset>
                </wp:positionV>
                <wp:extent cx="5410200" cy="166370"/>
                <wp:effectExtent l="0" t="0" r="0" b="0"/>
                <wp:wrapTopAndBottom/>
                <wp:docPr id="21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0" w:line="226" w:lineRule="exact"/>
                              <w:ind w:left="20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10: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Stabilita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reaktivita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width:426pt;height:13.1pt;margin-top:4.07pt;margin-left:92.5pt;mso-position-horizontal-relative:page;mso-wrap-distance-left:0;mso-wrap-distance-right:0;position:absolute;z-index:-251634688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0" w:line="226" w:lineRule="exact"/>
                        <w:ind w:left="20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10: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Stabilita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reaktivita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54" w:line="490" w:lineRule="atLeast"/>
        <w:ind w:left="1130" w:right="8072" w:firstLine="191"/>
        <w:jc w:val="left"/>
        <w:rPr>
          <w:sz w:val="20"/>
        </w:rPr>
      </w:pPr>
      <w:r>
        <w:rPr>
          <w:spacing w:val="-2"/>
          <w:sz w:val="20"/>
        </w:rPr>
        <w:t xml:space="preserve">Reaktivita </w:t>
      </w:r>
      <w:r>
        <w:rPr>
          <w:sz w:val="18"/>
        </w:rPr>
        <w:t>Reaktivita :</w:t>
      </w: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7" w:after="0" w:line="243" w:lineRule="exact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Chemická </w:t>
      </w:r>
      <w:r>
        <w:rPr>
          <w:spacing w:val="-2"/>
          <w:sz w:val="18"/>
        </w:rPr>
        <w:t>stabilita</w:t>
      </w:r>
    </w:p>
    <w:p>
      <w:pPr>
        <w:tabs>
          <w:tab w:val="left" w:pos="2462"/>
        </w:tabs>
        <w:spacing w:before="0" w:line="229" w:lineRule="exact"/>
        <w:ind w:left="1130" w:right="0" w:firstLine="0"/>
        <w:jc w:val="left"/>
        <w:rPr>
          <w:sz w:val="17"/>
        </w:rPr>
      </w:pPr>
      <w:r>
        <w:rPr>
          <w:sz w:val="18"/>
        </w:rPr>
        <w:t xml:space="preserve">Stabilita </w:t>
      </w:r>
      <w:r>
        <w:rPr>
          <w:spacing w:val="-10"/>
          <w:sz w:val="18"/>
        </w:rPr>
        <w:t>:</w:t>
      </w:r>
      <w:r>
        <w:rPr>
          <w:sz w:val="18"/>
        </w:rPr>
        <w:tab/>
      </w:r>
      <w:r>
        <w:rPr>
          <w:sz w:val="16"/>
        </w:rPr>
        <w:t xml:space="preserve">Stabilní </w:t>
      </w:r>
      <w:r>
        <w:rPr>
          <w:sz w:val="16"/>
        </w:rPr>
        <w:t xml:space="preserve">při </w:t>
      </w:r>
      <w:r>
        <w:rPr>
          <w:sz w:val="16"/>
        </w:rPr>
        <w:t xml:space="preserve">běžných </w:t>
      </w:r>
      <w:r>
        <w:rPr>
          <w:sz w:val="16"/>
        </w:rPr>
        <w:t xml:space="preserve">okolních </w:t>
      </w:r>
      <w:r>
        <w:rPr>
          <w:spacing w:val="-2"/>
          <w:sz w:val="16"/>
        </w:rPr>
        <w:t>teplotách.</w:t>
      </w: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8" w:after="0" w:line="242" w:lineRule="exact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Možnost </w:t>
      </w:r>
      <w:r>
        <w:rPr>
          <w:sz w:val="18"/>
        </w:rPr>
        <w:t xml:space="preserve">nebezpečných </w:t>
      </w:r>
      <w:r>
        <w:rPr>
          <w:spacing w:val="-2"/>
          <w:sz w:val="18"/>
        </w:rPr>
        <w:t>reakcí</w:t>
      </w:r>
    </w:p>
    <w:p>
      <w:pPr>
        <w:pStyle w:val="BodyText"/>
        <w:spacing w:line="228" w:lineRule="exact"/>
      </w:pPr>
      <w:r>
        <w:rPr>
          <w:sz w:val="18"/>
        </w:rPr>
        <w:t xml:space="preserve">Možnost </w:t>
      </w:r>
      <w:r>
        <w:rPr>
          <w:sz w:val="18"/>
        </w:rPr>
        <w:t xml:space="preserve">nebezpečných </w:t>
      </w:r>
      <w:r>
        <w:rPr>
          <w:sz w:val="18"/>
        </w:rPr>
        <w:t xml:space="preserve">reakcí: </w:t>
      </w:r>
      <w:r>
        <w:rPr>
          <w:sz w:val="18"/>
        </w:rPr>
        <w:t xml:space="preserve">Nejsou </w:t>
      </w:r>
      <w:r>
        <w:rPr>
          <w:spacing w:val="22"/>
          <w:sz w:val="18"/>
        </w:rPr>
        <w:t>známy</w:t>
      </w:r>
      <w:r>
        <w:rPr>
          <w:sz w:val="18"/>
        </w:rPr>
        <w:t xml:space="preserve"> žádné </w:t>
      </w:r>
      <w:r>
        <w:rPr>
          <w:sz w:val="18"/>
        </w:rPr>
        <w:t xml:space="preserve">potenciálně </w:t>
      </w:r>
      <w:r>
        <w:rPr>
          <w:sz w:val="18"/>
        </w:rPr>
        <w:t xml:space="preserve">nebezpečné </w:t>
      </w:r>
      <w:r>
        <w:rPr>
          <w:sz w:val="18"/>
        </w:rPr>
        <w:t>reakce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9" w:after="0" w:line="240" w:lineRule="auto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Podmínky, kterým </w:t>
      </w:r>
      <w:r>
        <w:rPr>
          <w:sz w:val="18"/>
        </w:rPr>
        <w:t xml:space="preserve">je třeba </w:t>
      </w:r>
      <w:r>
        <w:rPr>
          <w:spacing w:val="-4"/>
          <w:sz w:val="18"/>
        </w:rPr>
        <w:t>se vyhnout</w:t>
      </w:r>
    </w:p>
    <w:p>
      <w:pPr>
        <w:tabs>
          <w:tab w:val="left" w:pos="3653"/>
        </w:tabs>
        <w:spacing w:before="33"/>
        <w:ind w:left="1282" w:right="0" w:firstLine="0"/>
        <w:jc w:val="left"/>
        <w:rPr>
          <w:sz w:val="17"/>
        </w:rPr>
      </w:pPr>
      <w:r>
        <w:rPr>
          <w:sz w:val="18"/>
        </w:rPr>
        <w:t xml:space="preserve">Podmínky, kterým </w:t>
      </w:r>
      <w:r>
        <w:rPr>
          <w:sz w:val="18"/>
        </w:rPr>
        <w:t xml:space="preserve">je třeba </w:t>
      </w:r>
      <w:r>
        <w:rPr>
          <w:spacing w:val="-2"/>
          <w:sz w:val="18"/>
        </w:rPr>
        <w:t>se vyhnout:</w:t>
      </w:r>
      <w:r>
        <w:rPr>
          <w:sz w:val="18"/>
        </w:rPr>
        <w:tab/>
      </w:r>
      <w:r>
        <w:rPr>
          <w:sz w:val="16"/>
        </w:rPr>
        <w:t xml:space="preserve">Nesmí se </w:t>
      </w:r>
      <w:r>
        <w:rPr>
          <w:sz w:val="16"/>
        </w:rPr>
        <w:t xml:space="preserve">uchovávat </w:t>
      </w:r>
      <w:r>
        <w:rPr>
          <w:sz w:val="16"/>
        </w:rPr>
        <w:t xml:space="preserve">společně </w:t>
      </w:r>
      <w:r>
        <w:rPr>
          <w:sz w:val="16"/>
        </w:rPr>
        <w:t xml:space="preserve">s </w:t>
      </w:r>
      <w:r>
        <w:rPr>
          <w:sz w:val="16"/>
        </w:rPr>
        <w:t xml:space="preserve">alkalickými </w:t>
      </w:r>
      <w:r>
        <w:rPr>
          <w:sz w:val="16"/>
        </w:rPr>
        <w:t xml:space="preserve">a </w:t>
      </w:r>
      <w:r>
        <w:rPr>
          <w:sz w:val="16"/>
        </w:rPr>
        <w:t xml:space="preserve">chlorovanými </w:t>
      </w:r>
      <w:r>
        <w:rPr>
          <w:spacing w:val="-2"/>
          <w:sz w:val="16"/>
        </w:rPr>
        <w:t>produkty.</w:t>
      </w:r>
    </w:p>
    <w:p>
      <w:pPr>
        <w:pStyle w:val="BodyText"/>
        <w:ind w:left="0"/>
        <w:rPr>
          <w:sz w:val="17"/>
        </w:rPr>
      </w:pPr>
    </w:p>
    <w:p>
      <w:pPr>
        <w:pStyle w:val="BodyText"/>
        <w:spacing w:before="19"/>
        <w:ind w:left="0"/>
        <w:rPr>
          <w:sz w:val="17"/>
        </w:rPr>
      </w:pP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1" w:after="0" w:line="240" w:lineRule="auto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Nebezpečné </w:t>
      </w:r>
      <w:r>
        <w:rPr>
          <w:spacing w:val="-2"/>
          <w:sz w:val="18"/>
        </w:rPr>
        <w:t xml:space="preserve">produkty </w:t>
      </w:r>
      <w:r>
        <w:rPr>
          <w:sz w:val="18"/>
        </w:rPr>
        <w:t>rozkladu</w:t>
      </w:r>
    </w:p>
    <w:p>
      <w:pPr>
        <w:spacing w:before="130" w:line="195" w:lineRule="exact"/>
        <w:ind w:left="1282" w:right="0" w:firstLine="0"/>
        <w:jc w:val="left"/>
        <w:rPr>
          <w:sz w:val="17"/>
        </w:rPr>
      </w:pPr>
      <w:r>
        <w:rPr>
          <w:sz w:val="16"/>
        </w:rPr>
        <w:t xml:space="preserve">Nebezpečné </w:t>
      </w:r>
      <w:r>
        <w:rPr>
          <w:sz w:val="16"/>
        </w:rPr>
        <w:t xml:space="preserve">produkty </w:t>
      </w:r>
      <w:r>
        <w:rPr>
          <w:sz w:val="16"/>
        </w:rPr>
        <w:t>rozkladu</w:t>
      </w:r>
      <w:r>
        <w:rPr>
          <w:sz w:val="16"/>
        </w:rPr>
        <w:t xml:space="preserve">: </w:t>
      </w:r>
      <w:r>
        <w:rPr>
          <w:sz w:val="16"/>
        </w:rPr>
        <w:t xml:space="preserve">Nejsou </w:t>
      </w:r>
      <w:r>
        <w:rPr>
          <w:sz w:val="16"/>
        </w:rPr>
        <w:t>známy</w:t>
      </w:r>
      <w:r>
        <w:rPr>
          <w:sz w:val="16"/>
        </w:rPr>
        <w:t xml:space="preserve"> žádné </w:t>
      </w:r>
      <w:r>
        <w:rPr>
          <w:sz w:val="16"/>
        </w:rPr>
        <w:t xml:space="preserve">nebezpečné </w:t>
      </w:r>
      <w:r>
        <w:rPr>
          <w:spacing w:val="-2"/>
          <w:sz w:val="16"/>
        </w:rPr>
        <w:t xml:space="preserve">produkty </w:t>
      </w:r>
      <w:r>
        <w:rPr>
          <w:sz w:val="16"/>
        </w:rPr>
        <w:t>rozkladu</w:t>
      </w:r>
      <w:r>
        <w:rPr>
          <w:spacing w:val="-2"/>
          <w:sz w:val="16"/>
        </w:rPr>
        <w:t>.</w:t>
      </w:r>
    </w:p>
    <w:p>
      <w:pPr>
        <w:pStyle w:val="Heading1"/>
        <w:numPr>
          <w:ilvl w:val="1"/>
          <w:numId w:val="5"/>
        </w:numPr>
        <w:tabs>
          <w:tab w:val="left" w:pos="1241"/>
          <w:tab w:val="left" w:pos="1683"/>
        </w:tabs>
        <w:spacing w:before="0" w:after="0" w:line="240" w:lineRule="auto"/>
        <w:ind w:left="1241" w:right="7415" w:hanging="51"/>
        <w:jc w:val="left"/>
      </w:pPr>
      <w:r>
        <w:rPr>
          <w:sz w:val="20"/>
        </w:rPr>
        <w:t>Nekompatibilní materiály Materiály, kterým je třeba se vyhnout: ALKALIS</w:t>
      </w:r>
    </w:p>
    <w:p>
      <w:pPr>
        <w:pStyle w:val="BodyText"/>
        <w:ind w:left="0"/>
        <w:rPr>
          <w:rFonts w:ascii="Calibri"/>
        </w:rPr>
      </w:pPr>
    </w:p>
    <w:p>
      <w:pPr>
        <w:pStyle w:val="BodyText"/>
        <w:spacing w:before="73"/>
        <w:ind w:left="0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220193</wp:posOffset>
                </wp:positionV>
                <wp:extent cx="5410200" cy="167640"/>
                <wp:effectExtent l="0" t="0" r="0" b="0"/>
                <wp:wrapTopAndBottom/>
                <wp:docPr id="22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2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11: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Toxikologické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width:426pt;height:13.2pt;margin-top:17.34pt;margin-left:92.75pt;mso-position-horizontal-relative:page;mso-wrap-distance-left:0;mso-wrap-distance-right:0;position:absolute;z-index:-25163264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2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11: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Toxikologické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4"/>
        </w:numPr>
        <w:tabs>
          <w:tab w:val="left" w:pos="1638"/>
        </w:tabs>
        <w:spacing w:before="4" w:after="0" w:line="249" w:lineRule="auto"/>
        <w:ind w:left="1130" w:right="6344" w:firstLine="0"/>
        <w:jc w:val="left"/>
        <w:rPr>
          <w:sz w:val="20"/>
        </w:rPr>
      </w:pPr>
      <w:r>
        <w:rPr>
          <w:sz w:val="18"/>
        </w:rPr>
        <w:t xml:space="preserve">Informace o toxikologických účincích </w:t>
      </w:r>
      <w:r>
        <w:rPr>
          <w:sz w:val="18"/>
          <w:u w:val="single"/>
        </w:rPr>
        <w:t xml:space="preserve">Vážné </w:t>
      </w:r>
      <w:r>
        <w:rPr>
          <w:sz w:val="18"/>
          <w:u w:val="single"/>
        </w:rPr>
        <w:t>poškození/podráždění očí</w:t>
      </w:r>
    </w:p>
    <w:p>
      <w:pPr>
        <w:spacing w:before="0" w:line="187" w:lineRule="exact"/>
        <w:ind w:left="1130" w:right="0" w:firstLine="0"/>
        <w:jc w:val="left"/>
        <w:rPr>
          <w:sz w:val="17"/>
        </w:rPr>
      </w:pPr>
      <w:r>
        <w:rPr>
          <w:b/>
          <w:sz w:val="16"/>
        </w:rPr>
        <w:t xml:space="preserve">Vážné </w:t>
      </w:r>
      <w:r>
        <w:rPr>
          <w:b/>
          <w:sz w:val="16"/>
        </w:rPr>
        <w:t xml:space="preserve">poškození/podráždění </w:t>
      </w:r>
      <w:r>
        <w:rPr>
          <w:b/>
          <w:sz w:val="16"/>
        </w:rPr>
        <w:t>očí</w:t>
      </w:r>
      <w:r>
        <w:rPr>
          <w:b/>
          <w:sz w:val="16"/>
        </w:rPr>
        <w:t xml:space="preserve">: </w:t>
      </w:r>
      <w:r>
        <w:rPr>
          <w:spacing w:val="-2"/>
          <w:sz w:val="16"/>
        </w:rPr>
        <w:t xml:space="preserve">Předpokládá se </w:t>
      </w:r>
      <w:r>
        <w:rPr>
          <w:sz w:val="16"/>
        </w:rPr>
        <w:t xml:space="preserve">podráždění </w:t>
      </w:r>
      <w:r>
        <w:rPr>
          <w:sz w:val="16"/>
        </w:rPr>
        <w:t>očí</w:t>
      </w:r>
    </w:p>
    <w:p>
      <w:pPr>
        <w:spacing w:before="179"/>
        <w:ind w:left="1282" w:right="0" w:firstLine="0"/>
        <w:jc w:val="left"/>
        <w:rPr>
          <w:b/>
          <w:sz w:val="17"/>
        </w:rPr>
      </w:pPr>
      <w:r>
        <w:rPr>
          <w:b/>
          <w:spacing w:val="-2"/>
          <w:sz w:val="16"/>
          <w:u w:val="single"/>
        </w:rPr>
        <w:t xml:space="preserve">Respirační </w:t>
      </w:r>
      <w:r>
        <w:rPr>
          <w:b/>
          <w:spacing w:val="-2"/>
          <w:sz w:val="16"/>
          <w:u w:val="single"/>
        </w:rPr>
        <w:t>senzibilizace</w:t>
      </w:r>
    </w:p>
    <w:p>
      <w:pPr>
        <w:spacing w:before="4"/>
        <w:ind w:left="1130" w:right="0" w:firstLine="0"/>
        <w:jc w:val="left"/>
        <w:rPr>
          <w:sz w:val="17"/>
        </w:rPr>
      </w:pPr>
      <w:r>
        <w:rPr>
          <w:b/>
          <w:spacing w:val="-4"/>
          <w:sz w:val="16"/>
        </w:rPr>
        <w:t xml:space="preserve">Respirační senzibilizace: </w:t>
      </w:r>
      <w:r>
        <w:rPr>
          <w:spacing w:val="-4"/>
          <w:sz w:val="16"/>
        </w:rPr>
        <w:t xml:space="preserve">Toxikologické </w:t>
      </w:r>
      <w:r>
        <w:rPr>
          <w:spacing w:val="-4"/>
          <w:sz w:val="16"/>
        </w:rPr>
        <w:t xml:space="preserve">studie </w:t>
      </w:r>
      <w:r>
        <w:rPr>
          <w:spacing w:val="-4"/>
          <w:sz w:val="16"/>
        </w:rPr>
        <w:t xml:space="preserve">zatím </w:t>
      </w:r>
      <w:r>
        <w:rPr>
          <w:spacing w:val="-4"/>
          <w:sz w:val="16"/>
        </w:rPr>
        <w:t xml:space="preserve">nejsou </w:t>
      </w:r>
      <w:r>
        <w:rPr>
          <w:spacing w:val="-4"/>
          <w:sz w:val="16"/>
        </w:rPr>
        <w:t>k</w:t>
      </w:r>
      <w:r>
        <w:rPr>
          <w:spacing w:val="-4"/>
          <w:sz w:val="16"/>
        </w:rPr>
        <w:t xml:space="preserve"> dispozici.</w:t>
      </w:r>
    </w:p>
    <w:p>
      <w:pPr>
        <w:spacing w:before="5" w:line="247" w:lineRule="auto"/>
        <w:ind w:left="1130" w:right="2155" w:firstLine="0"/>
        <w:jc w:val="left"/>
        <w:rPr>
          <w:sz w:val="20"/>
        </w:rPr>
      </w:pPr>
      <w:r>
        <w:rPr>
          <w:b/>
          <w:sz w:val="18"/>
        </w:rPr>
        <w:t xml:space="preserve">Obecné </w:t>
      </w:r>
      <w:r>
        <w:rPr>
          <w:b/>
          <w:sz w:val="18"/>
        </w:rPr>
        <w:t xml:space="preserve">informace: </w:t>
      </w:r>
      <w:r>
        <w:rPr>
          <w:sz w:val="18"/>
        </w:rPr>
        <w:t>Při použití v souladu s návodem nemá výrobek žádné škodlivé účinky.</w:t>
      </w:r>
    </w:p>
    <w:p>
      <w:pPr>
        <w:pStyle w:val="BodyText"/>
        <w:spacing w:line="247" w:lineRule="auto"/>
        <w:ind w:right="1992"/>
      </w:pPr>
      <w:r>
        <w:rPr>
          <w:b/>
          <w:sz w:val="18"/>
        </w:rPr>
        <w:t xml:space="preserve">Kontakt s kůží: </w:t>
      </w:r>
      <w:r>
        <w:rPr>
          <w:sz w:val="18"/>
        </w:rPr>
        <w:t>Přípravek dráždí oči a pokožku. Dlouhodobý kontakt s kůží může způsobit dočasné podráždění.</w:t>
      </w:r>
    </w:p>
    <w:p>
      <w:pPr>
        <w:spacing w:before="7"/>
        <w:ind w:left="1130" w:right="0" w:firstLine="0"/>
        <w:jc w:val="left"/>
        <w:rPr>
          <w:sz w:val="17"/>
        </w:rPr>
      </w:pPr>
      <w:r>
        <w:rPr>
          <w:b/>
          <w:sz w:val="16"/>
        </w:rPr>
        <w:t xml:space="preserve">Oční kontakt: </w:t>
      </w:r>
      <w:r>
        <w:rPr>
          <w:spacing w:val="-2"/>
          <w:sz w:val="16"/>
        </w:rPr>
        <w:t>Dráždivé</w:t>
      </w:r>
    </w:p>
    <w:p>
      <w:pPr>
        <w:pStyle w:val="BodyText"/>
        <w:spacing w:before="10"/>
        <w:ind w:left="0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164088</wp:posOffset>
                </wp:positionV>
                <wp:extent cx="5410200" cy="166370"/>
                <wp:effectExtent l="0" t="0" r="0" b="0"/>
                <wp:wrapTopAndBottom/>
                <wp:docPr id="23" name="Textbox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12: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Ekologické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width:426pt;height:13.1pt;margin-top:12.92pt;margin-left:92.75pt;mso-position-horizontal-relative:page;mso-wrap-distance-left:0;mso-wrap-distance-right:0;position:absolute;z-index:-251630592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12: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Ekologické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20"/>
        <w:ind w:left="0"/>
        <w:rPr>
          <w:sz w:val="17"/>
        </w:rPr>
      </w:pPr>
    </w:p>
    <w:p>
      <w:pPr>
        <w:pStyle w:val="BodyText"/>
        <w:tabs>
          <w:tab w:val="left" w:pos="3127"/>
        </w:tabs>
        <w:spacing w:line="249" w:lineRule="auto"/>
        <w:ind w:right="1130"/>
      </w:pPr>
      <w:r>
        <w:rPr>
          <w:spacing w:val="-2"/>
          <w:sz w:val="18"/>
        </w:rPr>
        <w:t>Ekotoxicita</w:t>
      </w:r>
      <w:r>
        <w:rPr>
          <w:sz w:val="18"/>
        </w:rPr>
        <w:tab/>
      </w:r>
      <w:r>
        <w:rPr>
          <w:sz w:val="18"/>
        </w:rPr>
        <w:t xml:space="preserve">Není považován za nebezpečný pro životní prostředí. Velké nebo časté úniky však mohou mít </w:t>
      </w:r>
      <w:r>
        <w:rPr>
          <w:sz w:val="18"/>
        </w:rPr>
        <w:t>nebezpečné účinky na životní prostředí.</w:t>
      </w: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0" w:after="0" w:line="242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>Toxicita</w:t>
      </w:r>
    </w:p>
    <w:p>
      <w:pPr>
        <w:pStyle w:val="BodyText"/>
        <w:tabs>
          <w:tab w:val="left" w:pos="3127"/>
        </w:tabs>
        <w:spacing w:line="229" w:lineRule="exact"/>
      </w:pPr>
      <w:r>
        <w:rPr>
          <w:spacing w:val="-2"/>
          <w:sz w:val="18"/>
        </w:rPr>
        <w:t>Toxicita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informace.</w:t>
      </w:r>
    </w:p>
    <w:p>
      <w:pPr>
        <w:pStyle w:val="BodyText"/>
        <w:spacing w:before="15"/>
        <w:ind w:left="0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1" w:after="0" w:line="243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Perzistence </w:t>
      </w:r>
      <w:r>
        <w:rPr>
          <w:sz w:val="18"/>
        </w:rPr>
        <w:t xml:space="preserve">a </w:t>
      </w:r>
      <w:r>
        <w:rPr>
          <w:spacing w:val="-2"/>
          <w:sz w:val="18"/>
        </w:rPr>
        <w:t>rozložitelnost</w:t>
      </w:r>
    </w:p>
    <w:p>
      <w:pPr>
        <w:pStyle w:val="BodyText"/>
        <w:tabs>
          <w:tab w:val="left" w:pos="4460"/>
        </w:tabs>
        <w:spacing w:line="229" w:lineRule="exact"/>
      </w:pPr>
      <w:r>
        <w:rPr>
          <w:sz w:val="18"/>
        </w:rPr>
        <w:t xml:space="preserve">Perzistence </w:t>
      </w:r>
      <w:r>
        <w:rPr>
          <w:sz w:val="18"/>
        </w:rPr>
        <w:t xml:space="preserve">a </w:t>
      </w:r>
      <w:r>
        <w:rPr>
          <w:spacing w:val="-2"/>
          <w:sz w:val="18"/>
        </w:rPr>
        <w:t>rozložitelnost</w:t>
      </w:r>
      <w:r>
        <w:rPr>
          <w:sz w:val="18"/>
        </w:rPr>
        <w:tab/>
      </w:r>
      <w:r>
        <w:rPr>
          <w:sz w:val="18"/>
        </w:rPr>
        <w:t xml:space="preserve">Rozložitelnost </w:t>
      </w:r>
      <w:r>
        <w:rPr>
          <w:sz w:val="18"/>
        </w:rPr>
        <w:t xml:space="preserve">výrobku </w:t>
      </w:r>
      <w:r>
        <w:rPr>
          <w:sz w:val="18"/>
        </w:rPr>
        <w:t xml:space="preserve">není </w:t>
      </w:r>
      <w:r>
        <w:rPr>
          <w:spacing w:val="-2"/>
          <w:sz w:val="18"/>
        </w:rPr>
        <w:t>známa</w:t>
      </w:r>
    </w:p>
    <w:p>
      <w:pPr>
        <w:pStyle w:val="BodyText"/>
        <w:spacing w:before="14"/>
        <w:ind w:left="0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0" w:after="0" w:line="243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Bioakumulační </w:t>
      </w:r>
      <w:r>
        <w:rPr>
          <w:spacing w:val="-2"/>
          <w:sz w:val="18"/>
        </w:rPr>
        <w:t>potenciál</w:t>
      </w:r>
    </w:p>
    <w:p>
      <w:pPr>
        <w:pStyle w:val="BodyText"/>
        <w:tabs>
          <w:tab w:val="left" w:pos="3792"/>
        </w:tabs>
        <w:spacing w:line="229" w:lineRule="exact"/>
      </w:pPr>
      <w:r>
        <w:rPr>
          <w:sz w:val="18"/>
        </w:rPr>
        <w:t xml:space="preserve">Bioakumulační </w:t>
      </w:r>
      <w:r>
        <w:rPr>
          <w:spacing w:val="-2"/>
          <w:sz w:val="18"/>
        </w:rPr>
        <w:t>potenciál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 xml:space="preserve">údaje </w:t>
      </w:r>
      <w:r>
        <w:rPr>
          <w:sz w:val="18"/>
        </w:rPr>
        <w:t xml:space="preserve">o </w:t>
      </w:r>
      <w:r>
        <w:rPr>
          <w:spacing w:val="-2"/>
          <w:sz w:val="18"/>
        </w:rPr>
        <w:t>bioakumulaci.</w:t>
      </w:r>
    </w:p>
    <w:p>
      <w:pPr>
        <w:pStyle w:val="BodyText"/>
        <w:spacing w:before="13"/>
        <w:ind w:left="0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0" w:after="0" w:line="243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Mobilita </w:t>
      </w:r>
      <w:r>
        <w:rPr>
          <w:spacing w:val="-4"/>
          <w:sz w:val="18"/>
        </w:rPr>
        <w:t>v půdě</w:t>
      </w:r>
    </w:p>
    <w:p>
      <w:pPr>
        <w:pStyle w:val="BodyText"/>
        <w:tabs>
          <w:tab w:val="left" w:pos="3792"/>
        </w:tabs>
        <w:spacing w:line="229" w:lineRule="exact"/>
      </w:pPr>
      <w:r>
        <w:rPr>
          <w:spacing w:val="-2"/>
          <w:sz w:val="18"/>
        </w:rPr>
        <w:t>Mobilita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informace.</w:t>
      </w:r>
    </w:p>
    <w:p>
      <w:pPr>
        <w:pStyle w:val="BodyText"/>
        <w:spacing w:before="14"/>
        <w:ind w:left="0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1" w:after="0" w:line="242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Výsledky </w:t>
      </w:r>
      <w:r>
        <w:rPr>
          <w:spacing w:val="-2"/>
          <w:sz w:val="18"/>
        </w:rPr>
        <w:t xml:space="preserve">posouzení </w:t>
      </w:r>
      <w:r>
        <w:rPr>
          <w:sz w:val="18"/>
        </w:rPr>
        <w:t xml:space="preserve">PBT </w:t>
      </w:r>
      <w:r>
        <w:rPr>
          <w:sz w:val="18"/>
        </w:rPr>
        <w:t xml:space="preserve">a </w:t>
      </w:r>
      <w:r>
        <w:rPr>
          <w:sz w:val="18"/>
        </w:rPr>
        <w:t>vPvB</w:t>
      </w:r>
    </w:p>
    <w:p>
      <w:pPr>
        <w:pStyle w:val="BodyText"/>
        <w:tabs>
          <w:tab w:val="left" w:pos="5124"/>
        </w:tabs>
        <w:spacing w:line="228" w:lineRule="exact"/>
      </w:pPr>
      <w:r>
        <w:rPr>
          <w:sz w:val="18"/>
        </w:rPr>
        <w:t xml:space="preserve">Výsledky </w:t>
      </w:r>
      <w:r>
        <w:rPr>
          <w:spacing w:val="-2"/>
          <w:sz w:val="18"/>
        </w:rPr>
        <w:t xml:space="preserve">hodnocení </w:t>
      </w:r>
      <w:r>
        <w:rPr>
          <w:sz w:val="18"/>
        </w:rPr>
        <w:t xml:space="preserve">PBT </w:t>
      </w:r>
      <w:r>
        <w:rPr>
          <w:sz w:val="18"/>
        </w:rPr>
        <w:t xml:space="preserve">a </w:t>
      </w:r>
      <w:r>
        <w:rPr>
          <w:sz w:val="18"/>
        </w:rPr>
        <w:t>vPvB</w:t>
      </w:r>
      <w:r>
        <w:rPr>
          <w:spacing w:val="-2"/>
          <w:sz w:val="18"/>
        </w:rPr>
        <w:t>:</w:t>
      </w:r>
      <w:r>
        <w:rPr>
          <w:sz w:val="18"/>
        </w:rPr>
        <w:tab/>
      </w:r>
      <w:r>
        <w:rPr>
          <w:sz w:val="18"/>
        </w:rPr>
        <w:t xml:space="preserve">Tento </w:t>
      </w:r>
      <w:r>
        <w:rPr>
          <w:sz w:val="18"/>
        </w:rPr>
        <w:t xml:space="preserve">výrobek </w:t>
      </w:r>
      <w:r>
        <w:rPr>
          <w:sz w:val="18"/>
        </w:rPr>
        <w:t xml:space="preserve">neobsahuje </w:t>
      </w:r>
      <w:r>
        <w:rPr>
          <w:spacing w:val="-5"/>
          <w:sz w:val="18"/>
        </w:rPr>
        <w:t>žádné</w:t>
      </w:r>
    </w:p>
    <w:p>
      <w:pPr>
        <w:pStyle w:val="BodyText"/>
        <w:spacing w:after="0" w:line="228" w:lineRule="exact"/>
        <w:sectPr>
          <w:pgSz w:w="12240" w:h="15840"/>
          <w:pgMar w:top="1560" w:right="360" w:bottom="1280" w:left="720" w:header="253" w:footer="1044"/>
          <w:cols w:space="708"/>
        </w:sectPr>
      </w:pPr>
    </w:p>
    <w:p>
      <w:pPr>
        <w:pStyle w:val="BodyText"/>
        <w:spacing w:line="223" w:lineRule="exact"/>
      </w:pPr>
      <w:r>
        <w:rPr>
          <w:sz w:val="18"/>
        </w:rPr>
        <w:t xml:space="preserve">látky klasifikované </w:t>
      </w:r>
      <w:r>
        <w:rPr>
          <w:sz w:val="18"/>
        </w:rPr>
        <w:t xml:space="preserve">jako </w:t>
      </w:r>
      <w:r>
        <w:rPr>
          <w:sz w:val="18"/>
        </w:rPr>
        <w:t xml:space="preserve">PBT </w:t>
      </w:r>
      <w:r>
        <w:rPr>
          <w:sz w:val="18"/>
        </w:rPr>
        <w:t xml:space="preserve">nebo </w:t>
      </w:r>
      <w:r>
        <w:rPr>
          <w:spacing w:val="-4"/>
          <w:sz w:val="18"/>
        </w:rPr>
        <w:t>vPvB.</w:t>
      </w:r>
    </w:p>
    <w:p>
      <w:pPr>
        <w:pStyle w:val="BodyText"/>
        <w:spacing w:before="14"/>
        <w:ind w:left="0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1" w:after="0" w:line="243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Další </w:t>
      </w:r>
      <w:r>
        <w:rPr>
          <w:sz w:val="18"/>
        </w:rPr>
        <w:t xml:space="preserve">nežádoucí </w:t>
      </w:r>
      <w:r>
        <w:rPr>
          <w:spacing w:val="-2"/>
          <w:sz w:val="18"/>
        </w:rPr>
        <w:t>účinky</w:t>
      </w:r>
    </w:p>
    <w:p>
      <w:pPr>
        <w:pStyle w:val="BodyText"/>
        <w:tabs>
          <w:tab w:val="left" w:pos="3838"/>
        </w:tabs>
        <w:spacing w:line="229" w:lineRule="exact"/>
      </w:pPr>
      <w:r>
        <w:rPr>
          <w:sz w:val="18"/>
        </w:rPr>
        <w:t xml:space="preserve">Další </w:t>
      </w:r>
      <w:r>
        <w:rPr>
          <w:sz w:val="18"/>
        </w:rPr>
        <w:t xml:space="preserve">nežádoucí </w:t>
      </w:r>
      <w:r>
        <w:rPr>
          <w:spacing w:val="-2"/>
          <w:sz w:val="18"/>
        </w:rPr>
        <w:t>účinky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známy.</w:t>
      </w:r>
    </w:p>
    <w:p>
      <w:pPr>
        <w:pStyle w:val="BodyText"/>
        <w:ind w:left="0"/>
      </w:pPr>
      <w:r>
        <mc:AlternateContent>
          <mc:Choice Requires="wps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1081405</wp:posOffset>
                </wp:positionH>
                <wp:positionV relativeFrom="paragraph">
                  <wp:posOffset>164861</wp:posOffset>
                </wp:positionV>
                <wp:extent cx="5410200" cy="166370"/>
                <wp:effectExtent l="0" t="0" r="0" b="0"/>
                <wp:wrapTopAndBottom/>
                <wp:docPr id="24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13: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Úvahy 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likvidaci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width:426pt;height:13.1pt;margin-top:12.98pt;margin-left:85.15pt;mso-position-horizontal-relative:page;mso-wrap-distance-left:0;mso-wrap-distance-right:0;position:absolute;z-index:-251628544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9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13: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Úvahy o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likvidaci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38"/>
        <w:ind w:left="0"/>
      </w:pPr>
    </w:p>
    <w:p>
      <w:pPr>
        <w:pStyle w:val="BodyText"/>
        <w:ind w:left="1241"/>
      </w:pPr>
      <w:r>
        <w:rPr>
          <w:sz w:val="18"/>
        </w:rPr>
        <w:t xml:space="preserve">13.1. </w:t>
      </w:r>
      <w:r>
        <w:rPr>
          <w:spacing w:val="-2"/>
          <w:sz w:val="18"/>
        </w:rPr>
        <w:t xml:space="preserve">Způsoby </w:t>
      </w:r>
      <w:r>
        <w:rPr>
          <w:sz w:val="18"/>
        </w:rPr>
        <w:t xml:space="preserve">zpracování </w:t>
      </w:r>
      <w:r>
        <w:rPr>
          <w:sz w:val="18"/>
        </w:rPr>
        <w:t>odpadu</w:t>
      </w:r>
    </w:p>
    <w:p>
      <w:pPr>
        <w:pStyle w:val="BodyText"/>
        <w:tabs>
          <w:tab w:val="left" w:pos="3656"/>
        </w:tabs>
        <w:spacing w:before="147"/>
        <w:ind w:left="1282"/>
      </w:pPr>
      <w:r>
        <w:rPr>
          <w:sz w:val="18"/>
        </w:rPr>
        <w:t xml:space="preserve">Obecné </w:t>
      </w:r>
      <w:r>
        <w:rPr>
          <w:sz w:val="18"/>
        </w:rPr>
        <w:t xml:space="preserve">informace </w:t>
      </w:r>
      <w:r>
        <w:rPr>
          <w:spacing w:val="-10"/>
          <w:sz w:val="18"/>
        </w:rPr>
        <w:t>:</w:t>
      </w:r>
      <w:r>
        <w:rPr>
          <w:sz w:val="18"/>
        </w:rPr>
        <w:tab/>
      </w:r>
      <w:r>
        <w:rPr>
          <w:sz w:val="18"/>
        </w:rPr>
        <w:t xml:space="preserve">Manipulace, </w:t>
      </w:r>
      <w:r>
        <w:rPr>
          <w:sz w:val="18"/>
        </w:rPr>
        <w:t xml:space="preserve">skladování, </w:t>
      </w:r>
      <w:r>
        <w:rPr>
          <w:sz w:val="18"/>
        </w:rPr>
        <w:t xml:space="preserve">přeprava </w:t>
      </w:r>
      <w:r>
        <w:rPr>
          <w:sz w:val="18"/>
        </w:rPr>
        <w:t xml:space="preserve">a </w:t>
      </w:r>
      <w:r>
        <w:rPr>
          <w:sz w:val="18"/>
        </w:rPr>
        <w:t xml:space="preserve">likvidace </w:t>
      </w:r>
      <w:r>
        <w:rPr>
          <w:sz w:val="18"/>
        </w:rPr>
        <w:t xml:space="preserve">musí </w:t>
      </w:r>
      <w:r>
        <w:rPr>
          <w:spacing w:val="-5"/>
          <w:sz w:val="18"/>
        </w:rPr>
        <w:t>být</w:t>
      </w:r>
    </w:p>
    <w:p>
      <w:pPr>
        <w:pStyle w:val="BodyText"/>
        <w:spacing w:before="60" w:line="302" w:lineRule="auto"/>
        <w:ind w:left="3656" w:right="2413"/>
      </w:pPr>
      <w:r>
        <w:rPr>
          <w:sz w:val="18"/>
        </w:rPr>
        <w:t xml:space="preserve">prováděné v souladu s místními a ústředními předpisy. Nevypouštějte do povrchových a užitkových vod. Pokud je to schváleno, využijte nebo vypusťte do </w:t>
      </w:r>
      <w:r>
        <w:rPr>
          <w:spacing w:val="-2"/>
          <w:sz w:val="18"/>
        </w:rPr>
        <w:t xml:space="preserve">čistírny </w:t>
      </w:r>
      <w:r>
        <w:rPr>
          <w:sz w:val="18"/>
        </w:rPr>
        <w:t>odpadních vod.</w:t>
      </w:r>
    </w:p>
    <w:p>
      <w:pPr>
        <w:pStyle w:val="BodyText"/>
        <w:tabs>
          <w:tab w:val="left" w:pos="3792"/>
        </w:tabs>
        <w:spacing w:line="247" w:lineRule="auto"/>
        <w:ind w:right="2617"/>
      </w:pPr>
      <w:r>
        <w:rPr>
          <w:w w:val="105"/>
          <w:sz w:val="18"/>
        </w:rPr>
        <w:t>Způsoby likvidace</w:t>
      </w:r>
      <w:r>
        <w:rPr>
          <w:sz w:val="18"/>
        </w:rPr>
        <w:tab/>
      </w:r>
      <w:r>
        <w:rPr>
          <w:w w:val="105"/>
          <w:sz w:val="18"/>
        </w:rPr>
        <w:t xml:space="preserve">Odstraňte odpad na licencovanou skládku v </w:t>
      </w:r>
      <w:r>
        <w:rPr>
          <w:w w:val="105"/>
          <w:sz w:val="18"/>
        </w:rPr>
        <w:t xml:space="preserve">souladu s požadavky </w:t>
      </w:r>
      <w:r>
        <w:rPr>
          <w:w w:val="105"/>
          <w:sz w:val="18"/>
        </w:rPr>
        <w:t xml:space="preserve">místního </w:t>
      </w:r>
      <w:r>
        <w:rPr>
          <w:w w:val="105"/>
          <w:sz w:val="18"/>
        </w:rPr>
        <w:t xml:space="preserve">úřadu pro </w:t>
      </w:r>
      <w:r>
        <w:rPr>
          <w:w w:val="105"/>
          <w:sz w:val="18"/>
        </w:rPr>
        <w:t xml:space="preserve">likvidaci </w:t>
      </w:r>
      <w:r>
        <w:rPr>
          <w:w w:val="105"/>
          <w:sz w:val="18"/>
        </w:rPr>
        <w:t>odpadů</w:t>
      </w:r>
      <w:r>
        <w:rPr>
          <w:w w:val="105"/>
          <w:sz w:val="18"/>
        </w:rPr>
        <w:t>.</w:t>
      </w:r>
    </w:p>
    <w:p>
      <w:pPr>
        <w:pStyle w:val="BodyText"/>
        <w:spacing w:before="3"/>
        <w:ind w:left="0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137539</wp:posOffset>
                </wp:positionV>
                <wp:extent cx="5410200" cy="166370"/>
                <wp:effectExtent l="0" t="0" r="0" b="0"/>
                <wp:wrapTopAndBottom/>
                <wp:docPr id="25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14: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Informace 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dopravě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width:426pt;height:13.1pt;margin-top:10.83pt;margin-left:92.75pt;mso-position-horizontal-relative:page;mso-wrap-distance-left:0;mso-wrap-distance-right:0;position:absolute;z-index:-251626496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14: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Informace o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dopravě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tabs>
          <w:tab w:val="left" w:pos="3792"/>
        </w:tabs>
        <w:spacing w:before="203" w:line="244" w:lineRule="auto"/>
        <w:ind w:right="2413"/>
      </w:pPr>
      <w:r>
        <w:rPr>
          <w:spacing w:val="-2"/>
          <w:sz w:val="18"/>
        </w:rPr>
        <w:t>Obecné</w:t>
      </w:r>
      <w:r>
        <w:rPr>
          <w:sz w:val="18"/>
        </w:rPr>
        <w:tab/>
      </w:r>
      <w:r>
        <w:rPr>
          <w:sz w:val="18"/>
        </w:rPr>
        <w:t xml:space="preserve">Na výrobek se nevztahují mezinárodní předpisy o </w:t>
      </w:r>
      <w:r>
        <w:rPr>
          <w:sz w:val="18"/>
        </w:rPr>
        <w:t xml:space="preserve">přepravě </w:t>
      </w:r>
      <w:r>
        <w:rPr>
          <w:sz w:val="18"/>
        </w:rPr>
        <w:t xml:space="preserve">nebezpečného </w:t>
      </w:r>
      <w:r>
        <w:rPr>
          <w:sz w:val="18"/>
        </w:rPr>
        <w:t xml:space="preserve">zboží </w:t>
      </w:r>
      <w:r>
        <w:rPr>
          <w:sz w:val="18"/>
        </w:rPr>
        <w:t xml:space="preserve">(IMDG, </w:t>
      </w:r>
      <w:r>
        <w:rPr>
          <w:sz w:val="18"/>
        </w:rPr>
        <w:t xml:space="preserve">IATA, </w:t>
      </w:r>
      <w:r>
        <w:rPr>
          <w:sz w:val="18"/>
        </w:rPr>
        <w:t>ADR/RID</w:t>
      </w:r>
      <w:r>
        <w:rPr>
          <w:sz w:val="18"/>
        </w:rPr>
        <w:t>)</w:t>
      </w:r>
      <w:r>
        <w:rPr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3" w:after="0" w:line="243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Číslo </w:t>
      </w:r>
      <w:r>
        <w:rPr>
          <w:sz w:val="18"/>
        </w:rPr>
        <w:t>OSN</w:t>
      </w:r>
      <w:r>
        <w:rPr>
          <w:sz w:val="18"/>
        </w:rPr>
        <w:tab/>
      </w:r>
      <w:r>
        <w:rPr>
          <w:sz w:val="18"/>
        </w:rPr>
        <w:t>Nepoužije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0" w:after="0" w:line="241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Správné </w:t>
      </w:r>
      <w:r>
        <w:rPr>
          <w:sz w:val="18"/>
        </w:rPr>
        <w:t xml:space="preserve">přepravní </w:t>
      </w:r>
      <w:r>
        <w:rPr>
          <w:spacing w:val="-5"/>
          <w:sz w:val="18"/>
        </w:rPr>
        <w:t xml:space="preserve">jméno </w:t>
      </w:r>
      <w:r>
        <w:rPr>
          <w:sz w:val="18"/>
        </w:rPr>
        <w:t>OSN</w:t>
      </w:r>
      <w:r>
        <w:rPr>
          <w:sz w:val="18"/>
        </w:rPr>
        <w:tab/>
      </w:r>
      <w:r>
        <w:rPr>
          <w:spacing w:val="30"/>
          <w:sz w:val="18"/>
        </w:rPr>
        <w:t>Neuplatňuje</w:t>
      </w:r>
      <w:r>
        <w:rPr>
          <w:sz w:val="18"/>
        </w:rPr>
        <w:t xml:space="preserve">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0" w:after="0" w:line="240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Třída(y) </w:t>
      </w:r>
      <w:r>
        <w:rPr>
          <w:sz w:val="18"/>
        </w:rPr>
        <w:t>nebezpečnosti při</w:t>
      </w:r>
      <w:r>
        <w:rPr>
          <w:sz w:val="18"/>
        </w:rPr>
        <w:t xml:space="preserve"> přepravě</w:t>
      </w:r>
      <w:r>
        <w:rPr>
          <w:sz w:val="18"/>
        </w:rPr>
        <w:tab/>
      </w:r>
      <w:r>
        <w:rPr>
          <w:sz w:val="18"/>
        </w:rPr>
        <w:t xml:space="preserve">Výstražná </w:t>
      </w:r>
      <w:r>
        <w:rPr>
          <w:sz w:val="18"/>
        </w:rPr>
        <w:t xml:space="preserve">dopravní </w:t>
      </w:r>
      <w:r>
        <w:rPr>
          <w:sz w:val="18"/>
        </w:rPr>
        <w:t xml:space="preserve">značka </w:t>
      </w:r>
      <w:r>
        <w:rPr>
          <w:spacing w:val="14"/>
          <w:sz w:val="18"/>
        </w:rPr>
        <w:t>se</w:t>
      </w:r>
      <w:r>
        <w:rPr>
          <w:sz w:val="18"/>
        </w:rPr>
        <w:t xml:space="preserve"> nevyžaduje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0" w:after="0" w:line="241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Balicí </w:t>
      </w:r>
      <w:r>
        <w:rPr>
          <w:spacing w:val="-2"/>
          <w:sz w:val="18"/>
        </w:rPr>
        <w:t>skupina</w:t>
      </w:r>
      <w:r>
        <w:rPr>
          <w:sz w:val="18"/>
        </w:rPr>
        <w:tab/>
      </w:r>
      <w:r>
        <w:rPr>
          <w:sz w:val="18"/>
        </w:rPr>
        <w:t>Nepoužije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4460"/>
        </w:tabs>
        <w:spacing w:before="0" w:after="0" w:line="242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Ohrožení </w:t>
      </w:r>
      <w:r>
        <w:rPr>
          <w:sz w:val="18"/>
        </w:rPr>
        <w:t>životního prostředí</w:t>
      </w:r>
      <w:r>
        <w:rPr>
          <w:sz w:val="18"/>
        </w:rPr>
        <w:tab/>
      </w:r>
      <w:r>
        <w:rPr>
          <w:sz w:val="18"/>
        </w:rPr>
        <w:t xml:space="preserve">Látka </w:t>
      </w:r>
      <w:r>
        <w:rPr>
          <w:sz w:val="18"/>
        </w:rPr>
        <w:t xml:space="preserve">nebezpečná pro </w:t>
      </w:r>
      <w:r>
        <w:rPr>
          <w:sz w:val="18"/>
        </w:rPr>
        <w:t xml:space="preserve">životní </w:t>
      </w:r>
      <w:r>
        <w:rPr>
          <w:sz w:val="18"/>
        </w:rPr>
        <w:t xml:space="preserve">prostředí/znečišťující látky v </w:t>
      </w:r>
      <w:r>
        <w:rPr>
          <w:sz w:val="18"/>
        </w:rPr>
        <w:t>moři</w:t>
      </w:r>
      <w:r>
        <w:rPr>
          <w:spacing w:val="-5"/>
          <w:sz w:val="18"/>
        </w:rPr>
        <w:t>: Ne.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0" w:after="0" w:line="240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Zvláštní </w:t>
      </w:r>
      <w:r>
        <w:rPr>
          <w:sz w:val="18"/>
        </w:rPr>
        <w:t xml:space="preserve">opatření </w:t>
      </w:r>
      <w:r>
        <w:rPr>
          <w:sz w:val="18"/>
        </w:rPr>
        <w:t xml:space="preserve">pro </w:t>
      </w:r>
      <w:r>
        <w:rPr>
          <w:spacing w:val="-4"/>
          <w:sz w:val="18"/>
        </w:rPr>
        <w:t>uživatele</w:t>
      </w:r>
      <w:r>
        <w:rPr>
          <w:sz w:val="18"/>
        </w:rPr>
        <w:tab/>
      </w:r>
      <w:r>
        <w:rPr>
          <w:spacing w:val="5"/>
          <w:sz w:val="18"/>
        </w:rPr>
        <w:t>Neuplatňuje</w:t>
      </w:r>
      <w:r>
        <w:rPr>
          <w:sz w:val="18"/>
        </w:rPr>
        <w:t xml:space="preserve">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</w:tabs>
        <w:spacing w:before="0" w:after="0" w:line="239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Přeprava </w:t>
      </w:r>
      <w:r>
        <w:rPr>
          <w:sz w:val="18"/>
        </w:rPr>
        <w:t xml:space="preserve">volně </w:t>
      </w:r>
      <w:r>
        <w:rPr>
          <w:sz w:val="18"/>
        </w:rPr>
        <w:t>loženého</w:t>
      </w:r>
      <w:r>
        <w:rPr>
          <w:sz w:val="18"/>
        </w:rPr>
        <w:t xml:space="preserve"> zboží </w:t>
      </w:r>
      <w:r>
        <w:rPr>
          <w:sz w:val="18"/>
        </w:rPr>
        <w:t xml:space="preserve">podle </w:t>
      </w:r>
      <w:r>
        <w:rPr>
          <w:sz w:val="18"/>
        </w:rPr>
        <w:t xml:space="preserve">přílohy </w:t>
      </w:r>
      <w:r>
        <w:rPr>
          <w:sz w:val="18"/>
        </w:rPr>
        <w:t xml:space="preserve">II </w:t>
      </w:r>
      <w:r>
        <w:rPr>
          <w:sz w:val="18"/>
        </w:rPr>
        <w:t xml:space="preserve">úmluvy MARPOL </w:t>
      </w:r>
      <w:r>
        <w:rPr>
          <w:sz w:val="18"/>
        </w:rPr>
        <w:t xml:space="preserve">a </w:t>
      </w:r>
      <w:r>
        <w:rPr>
          <w:spacing w:val="-4"/>
          <w:sz w:val="18"/>
        </w:rPr>
        <w:t xml:space="preserve">předpisu </w:t>
      </w:r>
      <w:r>
        <w:rPr>
          <w:sz w:val="18"/>
        </w:rPr>
        <w:t>IBC</w:t>
      </w:r>
    </w:p>
    <w:p>
      <w:pPr>
        <w:pStyle w:val="BodyText"/>
        <w:spacing w:line="228" w:lineRule="exact"/>
      </w:pPr>
      <w:r>
        <w:rPr>
          <w:sz w:val="18"/>
        </w:rPr>
        <w:t xml:space="preserve">Přeprava </w:t>
      </w:r>
      <w:r>
        <w:rPr>
          <w:sz w:val="18"/>
        </w:rPr>
        <w:t xml:space="preserve">ve volně loženém stavu </w:t>
      </w:r>
      <w:r>
        <w:rPr>
          <w:sz w:val="18"/>
        </w:rPr>
        <w:t xml:space="preserve">podle </w:t>
      </w:r>
      <w:r>
        <w:rPr>
          <w:sz w:val="18"/>
        </w:rPr>
        <w:t xml:space="preserve">přílohy </w:t>
      </w:r>
      <w:r>
        <w:rPr>
          <w:sz w:val="18"/>
        </w:rPr>
        <w:t xml:space="preserve">II </w:t>
      </w:r>
      <w:r>
        <w:rPr>
          <w:sz w:val="18"/>
        </w:rPr>
        <w:t xml:space="preserve">úmluvy MARPOL </w:t>
      </w:r>
      <w:r>
        <w:rPr>
          <w:sz w:val="18"/>
        </w:rPr>
        <w:t xml:space="preserve">73/78 a </w:t>
      </w:r>
      <w:r>
        <w:rPr>
          <w:sz w:val="18"/>
        </w:rPr>
        <w:t xml:space="preserve">předpisu </w:t>
      </w:r>
      <w:r>
        <w:rPr>
          <w:sz w:val="18"/>
        </w:rPr>
        <w:t xml:space="preserve">IBC </w:t>
      </w:r>
      <w:r>
        <w:rPr>
          <w:sz w:val="18"/>
        </w:rPr>
        <w:t>Nepoužije se</w:t>
      </w:r>
      <w:r>
        <w:rPr>
          <w:spacing w:val="-2"/>
          <w:sz w:val="18"/>
        </w:rPr>
        <w:t>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1"/>
        <w:ind w:left="0"/>
      </w:pPr>
      <w:r>
        <mc:AlternateContent>
          <mc:Choice Requires="wps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177968</wp:posOffset>
                </wp:positionV>
                <wp:extent cx="5410200" cy="167005"/>
                <wp:effectExtent l="0" t="0" r="0" b="0"/>
                <wp:wrapTopAndBottom/>
                <wp:docPr id="26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005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15: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Regulační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width:426pt;height:13.15pt;margin-top:14.01pt;margin-left:92.75pt;mso-position-horizontal-relative:page;mso-wrap-distance-left:0;mso-wrap-distance-right:0;position:absolute;z-index:-251624448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9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15: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Regulační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1"/>
        </w:numPr>
        <w:tabs>
          <w:tab w:val="left" w:pos="1594"/>
          <w:tab w:val="left" w:pos="4460"/>
        </w:tabs>
        <w:spacing w:before="11" w:after="0" w:line="235" w:lineRule="auto"/>
        <w:ind w:left="1130" w:right="1150" w:firstLine="0"/>
        <w:jc w:val="left"/>
        <w:rPr>
          <w:sz w:val="20"/>
        </w:rPr>
      </w:pPr>
      <w:r>
        <w:rPr>
          <w:sz w:val="18"/>
        </w:rPr>
        <w:t xml:space="preserve">Bezpečnostní, zdravotní a environmentální předpisy/legislativa specifická pro danou látku nebo směs Vnitrostátní </w:t>
      </w:r>
      <w:r>
        <w:rPr>
          <w:sz w:val="18"/>
        </w:rPr>
        <w:t>předpisy:</w:t>
      </w:r>
      <w:r>
        <w:rPr>
          <w:sz w:val="18"/>
        </w:rPr>
        <w:tab/>
      </w:r>
      <w:r>
        <w:rPr>
          <w:sz w:val="18"/>
        </w:rPr>
        <w:t>EH40/2005 Limity expozice na pracovišti.</w:t>
      </w:r>
    </w:p>
    <w:p>
      <w:pPr>
        <w:pStyle w:val="BodyText"/>
        <w:spacing w:before="12"/>
        <w:ind w:left="4460"/>
      </w:pPr>
      <w:r>
        <w:rPr>
          <w:sz w:val="18"/>
        </w:rPr>
        <w:t>Bezpečnost</w:t>
      </w:r>
      <w:r>
        <w:rPr>
          <w:sz w:val="18"/>
        </w:rPr>
        <w:t xml:space="preserve"> a </w:t>
      </w:r>
      <w:r>
        <w:rPr>
          <w:sz w:val="18"/>
        </w:rPr>
        <w:t xml:space="preserve">ochrana zdraví </w:t>
      </w:r>
      <w:r>
        <w:rPr>
          <w:sz w:val="18"/>
        </w:rPr>
        <w:t xml:space="preserve">při </w:t>
      </w:r>
      <w:r>
        <w:rPr>
          <w:sz w:val="18"/>
        </w:rPr>
        <w:t xml:space="preserve">práci </w:t>
      </w:r>
      <w:r>
        <w:rPr>
          <w:sz w:val="18"/>
        </w:rPr>
        <w:t xml:space="preserve">atd. </w:t>
      </w:r>
      <w:r>
        <w:rPr>
          <w:sz w:val="18"/>
        </w:rPr>
        <w:t xml:space="preserve">Zákon </w:t>
      </w:r>
      <w:r>
        <w:rPr>
          <w:sz w:val="18"/>
        </w:rPr>
        <w:t xml:space="preserve">1974 </w:t>
      </w:r>
      <w:r>
        <w:rPr>
          <w:sz w:val="18"/>
        </w:rPr>
        <w:t xml:space="preserve">(v platném </w:t>
      </w:r>
      <w:r>
        <w:rPr>
          <w:spacing w:val="-2"/>
          <w:sz w:val="18"/>
        </w:rPr>
        <w:t>znění</w:t>
      </w:r>
      <w:r>
        <w:rPr>
          <w:sz w:val="18"/>
        </w:rPr>
        <w:t>)</w:t>
      </w:r>
      <w:r>
        <w:rPr>
          <w:spacing w:val="-2"/>
          <w:sz w:val="18"/>
        </w:rPr>
        <w:t>.</w:t>
      </w:r>
    </w:p>
    <w:p>
      <w:pPr>
        <w:pStyle w:val="BodyText"/>
        <w:spacing w:before="8"/>
      </w:pPr>
      <w:r>
        <w:rPr>
          <w:spacing w:val="-2"/>
          <w:sz w:val="18"/>
        </w:rPr>
        <w:t xml:space="preserve">Právní předpisy </w:t>
      </w:r>
      <w:r>
        <w:rPr>
          <w:sz w:val="18"/>
        </w:rPr>
        <w:t>EU:</w:t>
      </w:r>
    </w:p>
    <w:p>
      <w:pPr>
        <w:pStyle w:val="BodyText"/>
        <w:spacing w:before="7" w:line="249" w:lineRule="auto"/>
        <w:ind w:right="2413"/>
      </w:pPr>
      <w:r>
        <w:rPr>
          <w:sz w:val="18"/>
        </w:rPr>
        <w:t xml:space="preserve">Nařízení </w:t>
      </w:r>
      <w:r>
        <w:rPr>
          <w:sz w:val="18"/>
        </w:rPr>
        <w:t xml:space="preserve">Evropského </w:t>
      </w:r>
      <w:r>
        <w:rPr>
          <w:sz w:val="18"/>
        </w:rPr>
        <w:t xml:space="preserve">parlamentu </w:t>
      </w:r>
      <w:r>
        <w:rPr>
          <w:sz w:val="18"/>
        </w:rPr>
        <w:t xml:space="preserve">a </w:t>
      </w:r>
      <w:r>
        <w:rPr>
          <w:sz w:val="18"/>
        </w:rPr>
        <w:t xml:space="preserve">Rady </w:t>
      </w:r>
      <w:r>
        <w:rPr>
          <w:sz w:val="18"/>
        </w:rPr>
        <w:t xml:space="preserve">(ES) </w:t>
      </w:r>
      <w:r>
        <w:rPr>
          <w:sz w:val="18"/>
        </w:rPr>
        <w:t xml:space="preserve">č. </w:t>
      </w:r>
      <w:r>
        <w:rPr>
          <w:sz w:val="18"/>
        </w:rPr>
        <w:t xml:space="preserve">1272/2008 </w:t>
      </w:r>
      <w:r>
        <w:rPr>
          <w:sz w:val="18"/>
        </w:rPr>
        <w:t>ze dne 16. prosince 2008 o klasifikaci, označování a balení látek a směsí (ve znění pozdějších předpisů).</w:t>
      </w:r>
    </w:p>
    <w:p>
      <w:pPr>
        <w:pStyle w:val="BodyText"/>
        <w:spacing w:line="249" w:lineRule="auto"/>
        <w:ind w:right="2413"/>
      </w:pPr>
      <w:r>
        <w:rPr>
          <w:sz w:val="18"/>
        </w:rPr>
        <w:t xml:space="preserve">Nařízení </w:t>
      </w:r>
      <w:r>
        <w:rPr>
          <w:sz w:val="18"/>
        </w:rPr>
        <w:t xml:space="preserve">Evropského </w:t>
      </w:r>
      <w:r>
        <w:rPr>
          <w:sz w:val="18"/>
        </w:rPr>
        <w:t xml:space="preserve">parlamentu </w:t>
      </w:r>
      <w:r>
        <w:rPr>
          <w:sz w:val="18"/>
        </w:rPr>
        <w:t xml:space="preserve">a </w:t>
      </w:r>
      <w:r>
        <w:rPr>
          <w:sz w:val="18"/>
        </w:rPr>
        <w:t xml:space="preserve">Rady </w:t>
      </w:r>
      <w:r>
        <w:rPr>
          <w:sz w:val="18"/>
        </w:rPr>
        <w:t xml:space="preserve">(ES) </w:t>
      </w:r>
      <w:r>
        <w:rPr>
          <w:sz w:val="18"/>
        </w:rPr>
        <w:t xml:space="preserve">č. </w:t>
      </w:r>
      <w:r>
        <w:rPr>
          <w:sz w:val="18"/>
        </w:rPr>
        <w:t xml:space="preserve">1907/2006 </w:t>
      </w:r>
      <w:r>
        <w:rPr>
          <w:sz w:val="18"/>
        </w:rPr>
        <w:t>ze dne 18. prosince 2006 o registraci, hodnocení, povolování a omezování chemických látek (REACH) (v platném znění).</w:t>
      </w:r>
    </w:p>
    <w:p>
      <w:pPr>
        <w:pStyle w:val="ListParagraph"/>
        <w:numPr>
          <w:ilvl w:val="1"/>
          <w:numId w:val="1"/>
        </w:numPr>
        <w:tabs>
          <w:tab w:val="left" w:pos="1594"/>
        </w:tabs>
        <w:spacing w:before="0" w:after="0" w:line="240" w:lineRule="auto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Posouzení </w:t>
      </w:r>
      <w:r>
        <w:rPr>
          <w:sz w:val="18"/>
        </w:rPr>
        <w:t xml:space="preserve">chemické </w:t>
      </w:r>
      <w:r>
        <w:rPr>
          <w:sz w:val="18"/>
        </w:rPr>
        <w:t>bezpečnosti</w:t>
      </w:r>
    </w:p>
    <w:p>
      <w:pPr>
        <w:pStyle w:val="BodyText"/>
        <w:ind w:left="0"/>
      </w:pPr>
    </w:p>
    <w:p>
      <w:pPr>
        <w:pStyle w:val="BodyText"/>
        <w:spacing w:before="64"/>
        <w:ind w:left="0"/>
      </w:pPr>
      <w:r>
        <mc:AlternateContent>
          <mc:Choice Requires="wps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205486</wp:posOffset>
                </wp:positionV>
                <wp:extent cx="5410200" cy="166370"/>
                <wp:effectExtent l="0" t="0" r="0" b="0"/>
                <wp:wrapTopAndBottom/>
                <wp:docPr id="27" name="Textbox 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16: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Další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width:426pt;height:13.1pt;margin-top:16.18pt;margin-left:92.75pt;mso-position-horizontal-relative:page;mso-wrap-distance-left:0;mso-wrap-distance-right:0;position:absolute;z-index:-25162240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16: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Další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2" w:line="247" w:lineRule="auto"/>
        <w:ind w:right="898"/>
      </w:pPr>
      <w:r>
        <w:rPr>
          <w:sz w:val="18"/>
        </w:rPr>
        <w:t xml:space="preserve">Informace </w:t>
      </w:r>
      <w:r>
        <w:rPr>
          <w:sz w:val="18"/>
        </w:rPr>
        <w:t xml:space="preserve">o </w:t>
      </w:r>
      <w:r>
        <w:rPr>
          <w:sz w:val="18"/>
        </w:rPr>
        <w:t xml:space="preserve">výrobku </w:t>
      </w:r>
      <w:r>
        <w:rPr>
          <w:sz w:val="18"/>
        </w:rPr>
        <w:t xml:space="preserve">v </w:t>
      </w:r>
      <w:r>
        <w:rPr>
          <w:sz w:val="18"/>
        </w:rPr>
        <w:t xml:space="preserve">tomto </w:t>
      </w:r>
      <w:r>
        <w:rPr>
          <w:sz w:val="18"/>
        </w:rPr>
        <w:t xml:space="preserve">bezpečnostním </w:t>
      </w:r>
      <w:r>
        <w:rPr>
          <w:sz w:val="18"/>
        </w:rPr>
        <w:t xml:space="preserve">listu </w:t>
      </w:r>
      <w:r>
        <w:rPr>
          <w:sz w:val="18"/>
        </w:rPr>
        <w:t xml:space="preserve">byly získány ze </w:t>
      </w:r>
      <w:r>
        <w:rPr>
          <w:sz w:val="18"/>
        </w:rPr>
        <w:t xml:space="preserve">zdrojů, které </w:t>
      </w:r>
      <w:r>
        <w:rPr>
          <w:sz w:val="18"/>
        </w:rPr>
        <w:t xml:space="preserve">jsou obeznámeny </w:t>
      </w:r>
      <w:r>
        <w:rPr>
          <w:sz w:val="18"/>
        </w:rPr>
        <w:t xml:space="preserve">s jednotlivými složkami. Údaje zde uvedené vycházejí ze </w:t>
      </w:r>
      <w:r>
        <w:rPr>
          <w:sz w:val="18"/>
        </w:rPr>
        <w:t>současných znalostí a zkušeností. Tento</w:t>
      </w:r>
    </w:p>
    <w:p>
      <w:pPr>
        <w:pStyle w:val="BodyText"/>
        <w:spacing w:before="225"/>
        <w:ind w:left="941" w:right="898"/>
      </w:pPr>
      <w:r>
        <w:rPr>
          <w:sz w:val="18"/>
        </w:rPr>
        <w:t xml:space="preserve">Bezpečnostní list popisuje výrobek z hlediska bezpečnostních požadavků a nezaručuje vlastnosti výrobku. </w:t>
      </w:r>
      <w:r>
        <w:rPr>
          <w:sz w:val="18"/>
        </w:rPr>
        <w:t xml:space="preserve">Tento bezpečnostní list zkoumá bezpečnostní požadavky na výrobek a neposkytuje žádnou </w:t>
      </w:r>
      <w:r>
        <w:rPr>
          <w:sz w:val="18"/>
        </w:rPr>
        <w:t xml:space="preserve">záruku, </w:t>
      </w:r>
      <w:r>
        <w:rPr>
          <w:sz w:val="18"/>
        </w:rPr>
        <w:t xml:space="preserve">pokud jde o </w:t>
      </w:r>
      <w:r>
        <w:rPr>
          <w:sz w:val="18"/>
        </w:rPr>
        <w:t xml:space="preserve">vlastnosti </w:t>
      </w:r>
      <w:r>
        <w:rPr>
          <w:sz w:val="18"/>
        </w:rPr>
        <w:t xml:space="preserve">výrobku. </w:t>
      </w:r>
      <w:r>
        <w:rPr>
          <w:sz w:val="18"/>
        </w:rPr>
        <w:t xml:space="preserve">To </w:t>
      </w:r>
      <w:r>
        <w:rPr>
          <w:sz w:val="18"/>
        </w:rPr>
        <w:t xml:space="preserve">platí </w:t>
      </w:r>
      <w:r>
        <w:rPr>
          <w:sz w:val="18"/>
        </w:rPr>
        <w:t xml:space="preserve">pouze v </w:t>
      </w:r>
      <w:r>
        <w:rPr>
          <w:sz w:val="18"/>
        </w:rPr>
        <w:t xml:space="preserve">případě, že </w:t>
      </w:r>
      <w:r>
        <w:rPr>
          <w:sz w:val="18"/>
        </w:rPr>
        <w:t xml:space="preserve">je </w:t>
      </w:r>
      <w:r>
        <w:rPr>
          <w:sz w:val="18"/>
        </w:rPr>
        <w:t xml:space="preserve">výrobek </w:t>
      </w:r>
      <w:r>
        <w:rPr>
          <w:sz w:val="18"/>
        </w:rPr>
        <w:t xml:space="preserve">používán </w:t>
      </w:r>
      <w:r>
        <w:rPr>
          <w:sz w:val="18"/>
        </w:rPr>
        <w:t xml:space="preserve">pro </w:t>
      </w:r>
      <w:r>
        <w:rPr>
          <w:sz w:val="18"/>
        </w:rPr>
        <w:t>příslušné</w:t>
      </w:r>
    </w:p>
    <w:p>
      <w:pPr>
        <w:pStyle w:val="BodyText"/>
        <w:spacing w:after="0"/>
        <w:sectPr>
          <w:pgSz w:w="12240" w:h="15840"/>
          <w:pgMar w:top="1560" w:right="360" w:bottom="1240" w:left="720" w:header="253" w:footer="1044"/>
          <w:cols w:space="708"/>
        </w:sectPr>
      </w:pPr>
    </w:p>
    <w:p>
      <w:pPr>
        <w:pStyle w:val="BodyText"/>
        <w:ind w:left="941" w:right="1193"/>
        <w:jc w:val="both"/>
        <w:rPr>
          <w:sz w:val="22"/>
        </w:rPr>
      </w:pPr>
      <w:r>
        <w:rPr>
          <w:sz w:val="18"/>
        </w:rPr>
        <w:t xml:space="preserve">aplikace. Výrobek se neprodává v souladu s aplikací. Použití v takovém případě není v tomto seznamu uvedeno. Může vést k vyrážkám. Nepoužívejte pro jiné aplikace bez konzultace s </w:t>
      </w:r>
      <w:r>
        <w:rPr>
          <w:spacing w:val="-2"/>
          <w:sz w:val="18"/>
        </w:rPr>
        <w:t>výrobcem</w:t>
      </w:r>
      <w:r>
        <w:rPr>
          <w:spacing w:val="-2"/>
          <w:sz w:val="20"/>
        </w:rPr>
        <w:t>.</w:t>
      </w:r>
    </w:p>
    <w:p>
      <w:pPr>
        <w:pStyle w:val="BodyText"/>
        <w:spacing w:before="167"/>
        <w:ind w:left="0"/>
      </w:pPr>
    </w:p>
    <w:p>
      <w:pPr>
        <w:spacing w:before="0"/>
        <w:ind w:left="1130" w:right="2200" w:firstLine="0"/>
        <w:jc w:val="left"/>
        <w:rPr>
          <w:sz w:val="15"/>
        </w:rPr>
      </w:pPr>
      <w:r>
        <w:rPr>
          <w:sz w:val="14"/>
        </w:rPr>
        <w:t xml:space="preserve">Tyto informace se vztahují pouze na konkrétní označený materiál a nemusí platit pro tento materiál použitý v kombinaci s jinými </w:t>
      </w:r>
      <w:r>
        <w:rPr>
          <w:sz w:val="14"/>
        </w:rPr>
        <w:t xml:space="preserve">materiály nebo v jakémkoli procesu. Tyto informace </w:t>
      </w:r>
      <w:r>
        <w:rPr>
          <w:spacing w:val="-1"/>
          <w:sz w:val="14"/>
        </w:rPr>
        <w:t xml:space="preserve">jsou </w:t>
      </w:r>
      <w:r>
        <w:rPr>
          <w:sz w:val="14"/>
        </w:rPr>
        <w:t xml:space="preserve">podle nejlepšího </w:t>
      </w:r>
      <w:r>
        <w:rPr>
          <w:sz w:val="14"/>
        </w:rPr>
        <w:t xml:space="preserve">vědomí a </w:t>
      </w:r>
      <w:r>
        <w:rPr>
          <w:spacing w:val="-3"/>
          <w:sz w:val="14"/>
        </w:rPr>
        <w:t>svědomí</w:t>
      </w:r>
      <w:r>
        <w:rPr>
          <w:sz w:val="14"/>
        </w:rPr>
        <w:t xml:space="preserve"> společnosti </w:t>
      </w:r>
      <w:r>
        <w:rPr>
          <w:sz w:val="14"/>
        </w:rPr>
        <w:t xml:space="preserve">k </w:t>
      </w:r>
      <w:r>
        <w:rPr>
          <w:sz w:val="14"/>
        </w:rPr>
        <w:t xml:space="preserve">uvedenému </w:t>
      </w:r>
      <w:r>
        <w:rPr>
          <w:sz w:val="14"/>
        </w:rPr>
        <w:t xml:space="preserve">datu </w:t>
      </w:r>
      <w:r>
        <w:rPr>
          <w:sz w:val="14"/>
        </w:rPr>
        <w:t xml:space="preserve">přesné </w:t>
      </w:r>
      <w:r>
        <w:rPr>
          <w:sz w:val="14"/>
        </w:rPr>
        <w:t xml:space="preserve">a </w:t>
      </w:r>
      <w:r>
        <w:rPr>
          <w:sz w:val="14"/>
        </w:rPr>
        <w:t>spolehlivé</w:t>
      </w:r>
      <w:r>
        <w:rPr>
          <w:sz w:val="14"/>
        </w:rPr>
        <w:t xml:space="preserve">. </w:t>
      </w:r>
      <w:r>
        <w:rPr>
          <w:sz w:val="14"/>
        </w:rPr>
        <w:t xml:space="preserve">Neposkytuje </w:t>
      </w:r>
      <w:r>
        <w:rPr>
          <w:sz w:val="14"/>
        </w:rPr>
        <w:t xml:space="preserve">se </w:t>
      </w:r>
      <w:r>
        <w:rPr>
          <w:sz w:val="14"/>
        </w:rPr>
        <w:t xml:space="preserve">však </w:t>
      </w:r>
      <w:r>
        <w:rPr>
          <w:sz w:val="14"/>
        </w:rPr>
        <w:t xml:space="preserve">žádná </w:t>
      </w:r>
      <w:r>
        <w:rPr>
          <w:sz w:val="14"/>
        </w:rPr>
        <w:t xml:space="preserve">záruka, </w:t>
      </w:r>
      <w:r>
        <w:rPr>
          <w:spacing w:val="-1"/>
          <w:sz w:val="14"/>
        </w:rPr>
        <w:t xml:space="preserve">garance </w:t>
      </w:r>
      <w:r>
        <w:rPr>
          <w:sz w:val="14"/>
        </w:rPr>
        <w:t xml:space="preserve">ani </w:t>
      </w:r>
      <w:r>
        <w:rPr>
          <w:sz w:val="14"/>
        </w:rPr>
        <w:t xml:space="preserve">prohlášení o </w:t>
      </w:r>
      <w:r>
        <w:rPr>
          <w:sz w:val="14"/>
        </w:rPr>
        <w:t xml:space="preserve">jejich přesnosti, spolehlivosti nebo úplnosti. Uživatel je odpovědný za to, aby </w:t>
      </w:r>
      <w:r>
        <w:rPr>
          <w:sz w:val="14"/>
        </w:rPr>
        <w:t xml:space="preserve">se přesvědčil o </w:t>
      </w:r>
      <w:r>
        <w:rPr>
          <w:sz w:val="14"/>
        </w:rPr>
        <w:t>vhodnosti těchto informací pro své vlastní konkrétní použití.</w:t>
      </w:r>
    </w:p>
    <w:sectPr>
      <w:pgSz w:w="12240" w:h="15840"/>
      <w:pgMar w:top="1560" w:right="360" w:bottom="1280" w:left="720" w:header="253" w:footer="104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</w:pPr>
    <w: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6406134</wp:posOffset>
              </wp:positionH>
              <wp:positionV relativeFrom="page">
                <wp:posOffset>9222054</wp:posOffset>
              </wp:positionV>
              <wp:extent cx="199390" cy="1524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9939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t>1-9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15.7pt;height:12pt;margin-top:726.15pt;margin-left:504.42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pStyle w:val="BodyText"/>
                      <w:spacing w:line="223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t>1-9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  <w:rPr>
        <w:sz w:val="15"/>
      </w:rPr>
    </w:pPr>
    <w:r>
      <w:rPr>
        <w:sz w:val="15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6380734</wp:posOffset>
              </wp:positionH>
              <wp:positionV relativeFrom="page">
                <wp:posOffset>9222054</wp:posOffset>
              </wp:positionV>
              <wp:extent cx="224790" cy="152400"/>
              <wp:effectExtent l="0" t="0" r="0" b="0"/>
              <wp:wrapNone/>
              <wp:docPr id="11" name="Textbox 1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22479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z w:val="19"/>
                            </w:rPr>
                            <w:t>8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t>-7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2052" type="#_x0000_t202" style="width:17.7pt;height:12pt;margin-top:726.15pt;margin-left:502.42pt;mso-position-horizontal-relative:page;mso-position-vertical-relative:page;mso-wrap-distance-bottom:0;mso-wrap-distance-left:0;mso-wrap-distance-right:0;mso-wrap-distance-top:0;position:absolute;v-text-anchor:top;z-index:-251656192" fillcolor="this">
              <v:textbox inset="0,0,0,0">
                <w:txbxContent>
                  <w:p>
                    <w:pPr>
                      <w:pStyle w:val="BodyText"/>
                      <w:spacing w:line="223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  <w:sz w:val="19"/>
                      </w:rPr>
                      <w:t>8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-10"/>
                        <w:sz w:val="18"/>
                      </w:rPr>
                      <w:t>-7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ind w:left="0"/>
    </w:pPr>
    <w: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3556000</wp:posOffset>
              </wp:positionH>
              <wp:positionV relativeFrom="page">
                <wp:posOffset>163829</wp:posOffset>
              </wp:positionV>
              <wp:extent cx="3590925" cy="685800"/>
              <wp:effectExtent l="0" t="0" r="0" b="0"/>
              <wp:wrapNone/>
              <wp:docPr id="8" name="Graphic 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3590925" cy="685800"/>
                      </a:xfrm>
                      <a:custGeom>
                        <a:avLst/>
                        <a:gdLst/>
                        <a:rect l="l" t="t" r="r" b="b"/>
                        <a:pathLst>
                          <a:path fill="norm" h="685800" w="3590925" stroke="1">
                            <a:moveTo>
                              <a:pt x="0" y="685800"/>
                            </a:moveTo>
                            <a:lnTo>
                              <a:pt x="3590925" y="685800"/>
                            </a:lnTo>
                            <a:lnTo>
                              <a:pt x="3590925" y="0"/>
                            </a:lnTo>
                            <a:lnTo>
                              <a:pt x="0" y="0"/>
                            </a:lnTo>
                            <a:lnTo>
                              <a:pt x="0" y="685800"/>
                            </a:lnTo>
                            <a:close/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id="_x0000_s2050" style="width:282.75pt;height:54pt;margin-top:12.9pt;margin-left:280pt;mso-position-horizontal-relative:page;mso-position-vertical-relative:page;position:absolute;z-index:-251657216" filled="f" stroked="t" strokecolor="black" strokeweight="0.5pt">
              <v:stroke dashstyle="solid"/>
            </v:rect>
          </w:pict>
        </mc:Fallback>
      </mc:AlternateContent>
    </w: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199986</wp:posOffset>
          </wp:positionV>
          <wp:extent cx="1046480" cy="642531"/>
          <wp:effectExtent l="0" t="0" r="0" b="0"/>
          <wp:wrapNone/>
          <wp:docPr id="9" name="Imag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6480" cy="6425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1279905</wp:posOffset>
              </wp:positionH>
              <wp:positionV relativeFrom="page">
                <wp:posOffset>236093</wp:posOffset>
              </wp:positionV>
              <wp:extent cx="5003165" cy="779145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003165" cy="779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305" w:lineRule="exact"/>
                            <w:ind w:left="3733" w:right="0" w:firstLine="0"/>
                            <w:jc w:val="left"/>
                            <w:rPr>
                              <w:rFonts w:asci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6"/>
                            </w:rPr>
                            <w:t xml:space="preserve">BEZPEČNOSTNÍ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6"/>
                            </w:rPr>
                            <w:t xml:space="preserve">LIST </w:t>
                          </w:r>
                          <w:r>
                            <w:rPr>
                              <w:rFonts w:ascii="Calibri"/>
                              <w:b/>
                              <w:sz w:val="26"/>
                            </w:rPr>
                            <w:t>MATERIÁLU</w:t>
                          </w:r>
                        </w:p>
                        <w:p>
                          <w:pPr>
                            <w:spacing w:before="0"/>
                            <w:ind w:left="5092" w:right="0" w:hanging="108"/>
                            <w:jc w:val="left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 xml:space="preserve">ČISTIČ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 xml:space="preserve">KOUPELEN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 xml:space="preserve">VE SPREJI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2"/>
                            </w:rPr>
                            <w:t>DATA:03.12.2024</w:t>
                          </w:r>
                        </w:p>
                        <w:p>
                          <w:pPr>
                            <w:spacing w:before="111"/>
                            <w:ind w:left="20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 xml:space="preserve">Podle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(ES)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1907/2006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, příloha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II,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ve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 znění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(EU)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pacing w:val="-2"/>
                              <w:sz w:val="16"/>
                            </w:rPr>
                            <w:t>453/2010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393.95pt;height:61.35pt;margin-top:18.59pt;margin-left:100.78pt;mso-position-horizontal-relative:page;mso-position-vertical-relative:page;position:absolute;z-index:-251654144" filled="f" stroked="f">
              <v:textbox inset="0,0,0,0">
                <w:txbxContent>
                  <w:p>
                    <w:pPr>
                      <w:spacing w:before="0" w:line="305" w:lineRule="exact"/>
                      <w:ind w:left="3733" w:right="0" w:firstLine="0"/>
                      <w:jc w:val="lef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sz w:val="28"/>
                      </w:rPr>
                      <w:t xml:space="preserve">BEZPEČNOSTNÍ </w:t>
                    </w:r>
                    <w:r>
                      <w:rPr>
                        <w:rFonts w:ascii="Calibri"/>
                        <w:b/>
                        <w:spacing w:val="-2"/>
                        <w:sz w:val="28"/>
                      </w:rPr>
                      <w:t xml:space="preserve">LIST </w:t>
                    </w:r>
                    <w:r>
                      <w:rPr>
                        <w:rFonts w:ascii="Calibri"/>
                        <w:b/>
                        <w:sz w:val="28"/>
                      </w:rPr>
                      <w:t>MATERIÁLU</w:t>
                    </w:r>
                  </w:p>
                  <w:p>
                    <w:pPr>
                      <w:spacing w:before="0"/>
                      <w:ind w:left="5092" w:right="0" w:hanging="108"/>
                      <w:jc w:val="lef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sz w:val="24"/>
                      </w:rPr>
                      <w:t xml:space="preserve">ČISTIČ </w:t>
                    </w:r>
                    <w:r>
                      <w:rPr>
                        <w:rFonts w:ascii="Calibri"/>
                        <w:b/>
                        <w:sz w:val="24"/>
                      </w:rPr>
                      <w:t xml:space="preserve">KOUPELEN </w:t>
                    </w:r>
                    <w:r>
                      <w:rPr>
                        <w:rFonts w:ascii="Calibri"/>
                        <w:b/>
                        <w:sz w:val="24"/>
                      </w:rPr>
                      <w:t xml:space="preserve">VE SPREJI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>DATA:03.12.2024</w:t>
                    </w:r>
                  </w:p>
                  <w:p>
                    <w:pPr>
                      <w:spacing w:before="111"/>
                      <w:ind w:left="20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sz w:val="17"/>
                      </w:rPr>
                      <w:t xml:space="preserve">Podle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(ES)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z w:val="17"/>
                      </w:rPr>
                      <w:t>1907/2006</w:t>
                    </w:r>
                    <w:r>
                      <w:rPr>
                        <w:rFonts w:ascii="Calibri"/>
                        <w:sz w:val="17"/>
                      </w:rPr>
                      <w:t xml:space="preserve">, příloha </w:t>
                    </w:r>
                    <w:r>
                      <w:rPr>
                        <w:rFonts w:ascii="Calibri"/>
                        <w:sz w:val="17"/>
                      </w:rPr>
                      <w:t xml:space="preserve">II, </w:t>
                    </w:r>
                    <w:r>
                      <w:rPr>
                        <w:rFonts w:ascii="Calibri"/>
                        <w:sz w:val="17"/>
                      </w:rPr>
                      <w:t>ve</w:t>
                    </w:r>
                    <w:r>
                      <w:rPr>
                        <w:rFonts w:ascii="Calibri"/>
                        <w:sz w:val="17"/>
                      </w:rPr>
                      <w:t xml:space="preserve"> znění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(EU)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pacing w:val="-2"/>
                        <w:sz w:val="17"/>
                      </w:rPr>
                      <w:t>453/2010</w:t>
                    </w:r>
                    <w:r>
                      <w:rPr>
                        <w:rFonts w:ascii="Calibri"/>
                        <w:sz w:val="17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AA6553"/>
    <w:multiLevelType w:val="hybridMultilevel"/>
    <w:tmpl w:val="00000000"/>
    <w:lvl w:ilvl="0">
      <w:start w:val="12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1">
    <w:nsid w:val="122B6E7C"/>
    <w:multiLevelType w:val="hybridMultilevel"/>
    <w:tmpl w:val="00000000"/>
    <w:lvl w:ilvl="0">
      <w:start w:val="6"/>
      <w:numFmt w:val="decimal"/>
      <w:lvlText w:val="%1"/>
      <w:lvlJc w:val="left"/>
      <w:pPr>
        <w:ind w:left="1272" w:hanging="41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272" w:hanging="411"/>
        <w:jc w:val="right"/>
      </w:pPr>
      <w:rPr>
        <w:rFonts w:hint="default"/>
        <w:spacing w:val="-1"/>
        <w:w w:val="9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56" w:hanging="4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44" w:hanging="4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32" w:hanging="4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20" w:hanging="4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08" w:hanging="4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96" w:hanging="4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84" w:hanging="411"/>
      </w:pPr>
      <w:rPr>
        <w:rFonts w:hint="default"/>
        <w:lang w:val="en-US" w:eastAsia="en-US" w:bidi="ar-SA"/>
      </w:rPr>
    </w:lvl>
  </w:abstractNum>
  <w:abstractNum w:abstractNumId="2">
    <w:nsid w:val="127F3818"/>
    <w:multiLevelType w:val="hybridMultilevel"/>
    <w:tmpl w:val="00000000"/>
    <w:lvl w:ilvl="0">
      <w:start w:val="14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3">
    <w:nsid w:val="24E72233"/>
    <w:multiLevelType w:val="hybridMultilevel"/>
    <w:tmpl w:val="00000000"/>
    <w:lvl w:ilvl="0">
      <w:start w:val="5"/>
      <w:numFmt w:val="decimal"/>
      <w:lvlText w:val="%1"/>
      <w:lvlJc w:val="left"/>
      <w:pPr>
        <w:ind w:left="149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28" w:hanging="360"/>
      </w:pPr>
      <w:rPr>
        <w:rFonts w:hint="default"/>
        <w:lang w:val="en-US" w:eastAsia="en-US" w:bidi="ar-SA"/>
      </w:rPr>
    </w:lvl>
  </w:abstractNum>
  <w:abstractNum w:abstractNumId="4">
    <w:nsid w:val="329D2B22"/>
    <w:multiLevelType w:val="hybridMultilevel"/>
    <w:tmpl w:val="00000000"/>
    <w:lvl w:ilvl="0">
      <w:start w:val="2"/>
      <w:numFmt w:val="decimal"/>
      <w:lvlText w:val="%1"/>
      <w:lvlJc w:val="left"/>
      <w:pPr>
        <w:ind w:left="581" w:hanging="53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81" w:hanging="53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96" w:hanging="53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54" w:hanging="53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12" w:hanging="53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70" w:hanging="53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28" w:hanging="53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86" w:hanging="53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44" w:hanging="534"/>
      </w:pPr>
      <w:rPr>
        <w:rFonts w:hint="default"/>
        <w:lang w:val="en-US" w:eastAsia="en-US" w:bidi="ar-SA"/>
      </w:rPr>
    </w:lvl>
  </w:abstractNum>
  <w:abstractNum w:abstractNumId="5">
    <w:nsid w:val="3CF41947"/>
    <w:multiLevelType w:val="hybridMultilevel"/>
    <w:tmpl w:val="00000000"/>
    <w:lvl w:ilvl="0">
      <w:start w:val="11"/>
      <w:numFmt w:val="decimal"/>
      <w:lvlText w:val="%1"/>
      <w:lvlJc w:val="left"/>
      <w:pPr>
        <w:ind w:left="1130" w:hanging="5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51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2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5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5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5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5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5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5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512"/>
      </w:pPr>
      <w:rPr>
        <w:rFonts w:hint="default"/>
        <w:lang w:val="en-US" w:eastAsia="en-US" w:bidi="ar-SA"/>
      </w:rPr>
    </w:lvl>
  </w:abstractNum>
  <w:abstractNum w:abstractNumId="6">
    <w:nsid w:val="3ECFBEB2"/>
    <w:multiLevelType w:val="hybridMultilevel"/>
    <w:tmpl w:val="00000000"/>
    <w:lvl w:ilvl="0">
      <w:start w:val="9"/>
      <w:numFmt w:val="decimal"/>
      <w:lvlText w:val="%1"/>
      <w:lvlJc w:val="left"/>
      <w:pPr>
        <w:ind w:left="1130" w:hanging="363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6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6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6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6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6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63"/>
      </w:pPr>
      <w:rPr>
        <w:rFonts w:hint="default"/>
        <w:lang w:val="en-US" w:eastAsia="en-US" w:bidi="ar-SA"/>
      </w:rPr>
    </w:lvl>
  </w:abstractNum>
  <w:abstractNum w:abstractNumId="7">
    <w:nsid w:val="4860355D"/>
    <w:multiLevelType w:val="hybridMultilevel"/>
    <w:tmpl w:val="00000000"/>
    <w:lvl w:ilvl="0">
      <w:start w:val="8"/>
      <w:numFmt w:val="decimal"/>
      <w:lvlText w:val="%1"/>
      <w:lvlJc w:val="left"/>
      <w:pPr>
        <w:ind w:left="1334" w:hanging="39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334" w:hanging="394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2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04" w:hanging="39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86" w:hanging="39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68" w:hanging="39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50" w:hanging="39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2" w:hanging="39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4" w:hanging="39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96" w:hanging="394"/>
      </w:pPr>
      <w:rPr>
        <w:rFonts w:hint="default"/>
        <w:lang w:val="en-US" w:eastAsia="en-US" w:bidi="ar-SA"/>
      </w:rPr>
    </w:lvl>
  </w:abstractNum>
  <w:abstractNum w:abstractNumId="8">
    <w:nsid w:val="4A01E16A"/>
    <w:multiLevelType w:val="hybridMultilevel"/>
    <w:tmpl w:val="00000000"/>
    <w:lvl w:ilvl="0">
      <w:start w:val="1"/>
      <w:numFmt w:val="decimal"/>
      <w:lvlText w:val="%1"/>
      <w:lvlJc w:val="left"/>
      <w:pPr>
        <w:ind w:left="113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60"/>
      </w:pPr>
      <w:rPr>
        <w:rFonts w:hint="default"/>
        <w:lang w:val="en-US" w:eastAsia="en-US" w:bidi="ar-SA"/>
      </w:rPr>
    </w:lvl>
  </w:abstractNum>
  <w:abstractNum w:abstractNumId="9">
    <w:nsid w:val="5EDC0FC8"/>
    <w:multiLevelType w:val="hybridMultilevel"/>
    <w:tmpl w:val="00000000"/>
    <w:lvl w:ilvl="0">
      <w:start w:val="4"/>
      <w:numFmt w:val="decimal"/>
      <w:lvlText w:val="%1"/>
      <w:lvlJc w:val="left"/>
      <w:pPr>
        <w:ind w:left="149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28" w:hanging="360"/>
      </w:pPr>
      <w:rPr>
        <w:rFonts w:hint="default"/>
        <w:lang w:val="en-US" w:eastAsia="en-US" w:bidi="ar-SA"/>
      </w:rPr>
    </w:lvl>
  </w:abstractNum>
  <w:abstractNum w:abstractNumId="10">
    <w:nsid w:val="6D0B9D02"/>
    <w:multiLevelType w:val="hybridMultilevel"/>
    <w:tmpl w:val="00000000"/>
    <w:lvl w:ilvl="0">
      <w:start w:val="10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hint="default"/>
        <w:spacing w:val="-2"/>
        <w:w w:val="101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11">
    <w:nsid w:val="7B92BDC0"/>
    <w:multiLevelType w:val="hybridMultilevel"/>
    <w:tmpl w:val="00000000"/>
    <w:lvl w:ilvl="0">
      <w:start w:val="7"/>
      <w:numFmt w:val="decimal"/>
      <w:lvlText w:val="%1"/>
      <w:lvlJc w:val="left"/>
      <w:pPr>
        <w:ind w:left="113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60"/>
      </w:pPr>
      <w:rPr>
        <w:rFonts w:hint="default"/>
        <w:lang w:val="en-US" w:eastAsia="en-US" w:bidi="ar-SA"/>
      </w:rPr>
    </w:lvl>
  </w:abstractNum>
  <w:abstractNum w:abstractNumId="12">
    <w:nsid w:val="7FFD68D9"/>
    <w:multiLevelType w:val="hybridMultilevel"/>
    <w:tmpl w:val="00000000"/>
    <w:lvl w:ilvl="0">
      <w:start w:val="15"/>
      <w:numFmt w:val="decimal"/>
      <w:lvlText w:val="%1"/>
      <w:lvlJc w:val="left"/>
      <w:pPr>
        <w:ind w:left="1130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468"/>
      </w:pPr>
      <w:rPr>
        <w:rFonts w:hint="default"/>
        <w:lang w:val="en-US" w:eastAsia="en-US" w:bidi="ar-SA"/>
      </w:rPr>
    </w:lvl>
  </w:abstractNum>
  <w:num w:numId="1">
    <w:abstractNumId w:val="12"/>
  </w:num>
  <w:num w:numId="2">
    <w:abstractNumId w:val="2"/>
  </w:num>
  <w:num w:numId="3">
    <w:abstractNumId w:val="0"/>
  </w:num>
  <w:num w:numId="4">
    <w:abstractNumId w:val="5"/>
  </w:num>
  <w:num w:numId="5">
    <w:abstractNumId w:val="10"/>
  </w:num>
  <w:num w:numId="6">
    <w:abstractNumId w:val="6"/>
  </w:num>
  <w:num w:numId="7">
    <w:abstractNumId w:val="7"/>
  </w:num>
  <w:num w:numId="8">
    <w:abstractNumId w:val="11"/>
  </w:num>
  <w:num w:numId="9">
    <w:abstractNumId w:val="1"/>
  </w:num>
  <w:num w:numId="10">
    <w:abstractNumId w:val="3"/>
  </w:num>
  <w:num w:numId="11">
    <w:abstractNumId w:val="9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US" w:eastAsia="en-US" w:bidi="ar-SA"/>
    </w:rPr>
  </w:style>
  <w:style w:type="paragraph" w:styleId="Heading1">
    <w:name w:val="heading 1"/>
    <w:basedOn w:val="Normal"/>
    <w:uiPriority w:val="1"/>
    <w:qFormat/>
    <w:pPr>
      <w:ind w:left="1130" w:hanging="51"/>
      <w:outlineLvl w:val="0"/>
    </w:pPr>
    <w:rPr>
      <w:rFonts w:ascii="Calibri" w:eastAsia="Calibri" w:hAnsi="Calibri" w:cs="Calibri"/>
      <w:sz w:val="22"/>
      <w:szCs w:val="22"/>
      <w:lang w:val="en-US" w:eastAsia="en-US" w:bidi="ar-SA"/>
    </w:rPr>
  </w:style>
  <w:style w:type="paragraph" w:styleId="Heading2">
    <w:name w:val="heading 2"/>
    <w:basedOn w:val="Normal"/>
    <w:uiPriority w:val="1"/>
    <w:qFormat/>
    <w:pPr>
      <w:spacing w:before="3"/>
      <w:ind w:left="1130"/>
      <w:outlineLvl w:val="1"/>
    </w:pPr>
    <w:rPr>
      <w:rFonts w:ascii="Arial" w:eastAsia="Arial" w:hAnsi="Arial" w:cs="Arial"/>
      <w:b/>
      <w:bCs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130"/>
    </w:pPr>
    <w:rPr>
      <w:rFonts w:ascii="Arial" w:eastAsia="Arial" w:hAnsi="Arial" w:cs="Arial"/>
      <w:sz w:val="20"/>
      <w:szCs w:val="20"/>
      <w:lang w:val="en-US" w:eastAsia="en-US" w:bidi="ar-SA"/>
    </w:rPr>
  </w:style>
  <w:style w:type="paragraph" w:styleId="Title">
    <w:name w:val="Title"/>
    <w:basedOn w:val="Normal"/>
    <w:uiPriority w:val="1"/>
    <w:qFormat/>
    <w:pPr>
      <w:spacing w:line="305" w:lineRule="exact"/>
      <w:ind w:left="145"/>
    </w:pPr>
    <w:rPr>
      <w:rFonts w:ascii="Calibri" w:eastAsia="Calibri" w:hAnsi="Calibri" w:cs="Calibri"/>
      <w:b/>
      <w:bCs/>
      <w:sz w:val="28"/>
      <w:szCs w:val="28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1594" w:hanging="464"/>
    </w:pPr>
    <w:rPr>
      <w:rFonts w:ascii="Arial" w:eastAsia="Arial" w:hAnsi="Arial" w:cs="Arial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pPr>
      <w:ind w:left="102"/>
    </w:pPr>
    <w:rPr>
      <w:rFonts w:ascii="Arial" w:eastAsia="Arial" w:hAnsi="Arial" w:cs="Arial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footer" Target="footer2.xml" /><Relationship Id="rId12" Type="http://schemas.openxmlformats.org/officeDocument/2006/relationships/image" Target="media/image4.jpeg" /><Relationship Id="rId13" Type="http://schemas.openxmlformats.org/officeDocument/2006/relationships/image" Target="media/image5.jpeg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mailto:info@happy.com.al" TargetMode="External" /><Relationship Id="rId6" Type="http://schemas.openxmlformats.org/officeDocument/2006/relationships/hyperlink" Target="mailto:faik.hoti@almgroup-ks.com" TargetMode="External" /><Relationship Id="rId7" Type="http://schemas.openxmlformats.org/officeDocument/2006/relationships/image" Target="media/image2.jpeg" /><Relationship Id="rId8" Type="http://schemas.openxmlformats.org/officeDocument/2006/relationships/image" Target="media/image3.png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Besartë Aliu</dc:creator>
  <cp:keywords>, docId:F4978BB8C613E3C6C4778500966FAAE9</cp:keywords>
  <cp:revision>0</cp:revision>
  <dcterms:created xsi:type="dcterms:W3CDTF">2025-06-06T11:20:13Z</dcterms:created>
  <dcterms:modified xsi:type="dcterms:W3CDTF">2025-06-06T11:20:13Z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LTSC</vt:lpwstr>
  </property>
</Properties>
</file>